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56"/>
          <w:szCs w:val="56"/>
          <w:highlight w:val="none"/>
        </w:rPr>
      </w:pPr>
      <w:r/>
      <w:bookmarkStart w:id="102" w:name="_GoBack"/>
      <w:r/>
      <w:r/>
    </w:p>
    <w:p>
      <w:pPr>
        <w:jc w:val="center"/>
        <w:rPr>
          <w:b/>
          <w:bCs/>
          <w:color w:val="auto"/>
          <w:sz w:val="56"/>
          <w:szCs w:val="56"/>
          <w:highlight w:val="none"/>
        </w:rPr>
      </w:pPr>
      <w:r>
        <w:rPr>
          <w:b/>
          <w:bCs/>
          <w:color w:val="auto"/>
          <w:sz w:val="56"/>
          <w:szCs w:val="56"/>
          <w:highlight w:val="none"/>
        </w:rPr>
      </w:r>
      <w:r/>
    </w:p>
    <w:p>
      <w:pPr>
        <w:jc w:val="center"/>
        <w:rPr>
          <w:b/>
          <w:bCs/>
          <w:color w:val="auto"/>
          <w:sz w:val="56"/>
          <w:szCs w:val="56"/>
          <w:highlight w:val="none"/>
        </w:rPr>
      </w:pPr>
      <w:r>
        <w:rPr>
          <w:rFonts w:hint="eastAsia"/>
          <w:b/>
          <w:bCs/>
          <w:color w:val="auto"/>
          <w:sz w:val="56"/>
          <w:szCs w:val="56"/>
          <w:highlight w:val="none"/>
        </w:rPr>
        <w:t xml:space="preserve">泰州市政府采购</w:t>
      </w:r>
      <w:r/>
    </w:p>
    <w:p>
      <w:pPr>
        <w:jc w:val="center"/>
        <w:rPr>
          <w:b/>
          <w:bCs/>
          <w:color w:val="auto"/>
          <w:sz w:val="56"/>
          <w:szCs w:val="56"/>
          <w:highlight w:val="none"/>
        </w:rPr>
      </w:pPr>
      <w:r>
        <w:rPr>
          <w:rFonts w:hint="eastAsia"/>
          <w:b/>
          <w:bCs/>
          <w:color w:val="auto"/>
          <w:sz w:val="56"/>
          <w:szCs w:val="56"/>
          <w:highlight w:val="none"/>
        </w:rPr>
        <w:t xml:space="preserve">竞争性磋商文件</w:t>
      </w:r>
      <w:r/>
    </w:p>
    <w:p>
      <w:pPr>
        <w:ind w:left="566" w:hanging="3"/>
        <w:jc w:val="left"/>
        <w:spacing w:line="480" w:lineRule="auto"/>
        <w:rPr>
          <w:b/>
          <w:color w:val="auto"/>
          <w:sz w:val="28"/>
          <w:szCs w:val="32"/>
          <w:highlight w:val="none"/>
        </w:rPr>
      </w:pPr>
      <w:r>
        <w:rPr>
          <w:b/>
          <w:color w:val="auto"/>
          <w:sz w:val="28"/>
          <w:szCs w:val="32"/>
          <w:highlight w:val="none"/>
        </w:rPr>
      </w:r>
      <w:r/>
    </w:p>
    <w:p>
      <w:pPr>
        <w:ind w:left="566" w:hanging="3"/>
        <w:jc w:val="left"/>
        <w:spacing w:line="480" w:lineRule="auto"/>
        <w:rPr>
          <w:b/>
          <w:color w:val="auto"/>
          <w:sz w:val="28"/>
          <w:szCs w:val="32"/>
          <w:highlight w:val="none"/>
        </w:rPr>
      </w:pPr>
      <w:r>
        <w:rPr>
          <w:b/>
          <w:color w:val="auto"/>
          <w:sz w:val="28"/>
          <w:szCs w:val="32"/>
          <w:highlight w:val="none"/>
        </w:rPr>
      </w:r>
      <w:r/>
    </w:p>
    <w:p>
      <w:pPr>
        <w:pStyle w:val="735"/>
        <w:rPr>
          <w:b/>
          <w:color w:val="auto"/>
          <w:sz w:val="28"/>
          <w:szCs w:val="32"/>
          <w:highlight w:val="none"/>
        </w:rPr>
      </w:pPr>
      <w:r>
        <w:rPr>
          <w:b/>
          <w:color w:val="auto"/>
          <w:sz w:val="28"/>
          <w:szCs w:val="32"/>
          <w:highlight w:val="none"/>
        </w:rPr>
      </w:r>
      <w:r/>
    </w:p>
    <w:p>
      <w:pPr>
        <w:pStyle w:val="735"/>
        <w:rPr>
          <w:b/>
          <w:color w:val="auto"/>
          <w:sz w:val="28"/>
          <w:szCs w:val="32"/>
          <w:highlight w:val="none"/>
        </w:rPr>
      </w:pPr>
      <w:r>
        <w:rPr>
          <w:b/>
          <w:color w:val="auto"/>
          <w:sz w:val="28"/>
          <w:szCs w:val="32"/>
          <w:highlight w:val="none"/>
        </w:rPr>
      </w:r>
      <w:r/>
    </w:p>
    <w:p>
      <w:pPr>
        <w:pStyle w:val="735"/>
        <w:rPr>
          <w:b/>
          <w:color w:val="auto"/>
          <w:sz w:val="28"/>
          <w:szCs w:val="32"/>
          <w:highlight w:val="none"/>
        </w:rPr>
      </w:pPr>
      <w:r>
        <w:rPr>
          <w:b/>
          <w:color w:val="auto"/>
          <w:sz w:val="28"/>
          <w:szCs w:val="32"/>
          <w:highlight w:val="none"/>
        </w:rPr>
      </w:r>
      <w:r/>
    </w:p>
    <w:p>
      <w:pPr>
        <w:ind w:left="566" w:hanging="3"/>
        <w:jc w:val="left"/>
        <w:spacing w:line="480" w:lineRule="auto"/>
        <w:rPr>
          <w:b/>
          <w:color w:val="auto"/>
          <w:sz w:val="28"/>
          <w:szCs w:val="32"/>
          <w:highlight w:val="none"/>
        </w:rPr>
      </w:pPr>
      <w:r>
        <w:rPr>
          <w:b/>
          <w:color w:val="auto"/>
          <w:sz w:val="28"/>
          <w:szCs w:val="32"/>
          <w:highlight w:val="none"/>
        </w:rPr>
      </w:r>
      <w:r/>
    </w:p>
    <w:p>
      <w:pPr>
        <w:ind w:left="420"/>
        <w:rPr>
          <w:b/>
          <w:bCs/>
          <w:color w:val="auto"/>
          <w:sz w:val="28"/>
          <w:szCs w:val="36"/>
          <w:highlight w:val="none"/>
        </w:rPr>
      </w:pPr>
      <w:r>
        <w:rPr>
          <w:rFonts w:hint="eastAsia"/>
          <w:b/>
          <w:bCs/>
          <w:color w:val="auto"/>
          <w:sz w:val="28"/>
          <w:szCs w:val="36"/>
          <w:highlight w:val="none"/>
        </w:rPr>
        <w:t xml:space="preserve">项目名称：高港实验初级中学异地重建项目材料检测</w:t>
      </w:r>
      <w:r/>
    </w:p>
    <w:p>
      <w:pPr>
        <w:ind w:left="420"/>
        <w:rPr>
          <w:rFonts w:hint="eastAsia"/>
          <w:b/>
          <w:bCs/>
          <w:color w:val="auto"/>
          <w:sz w:val="28"/>
          <w:szCs w:val="36"/>
          <w:highlight w:val="none"/>
        </w:rPr>
      </w:pPr>
      <w:r>
        <w:rPr>
          <w:rFonts w:hint="eastAsia"/>
          <w:b/>
          <w:bCs/>
          <w:color w:val="auto"/>
          <w:sz w:val="28"/>
          <w:szCs w:val="36"/>
          <w:highlight w:val="none"/>
        </w:rPr>
        <w:t xml:space="preserve">项目编号：JSZC-321203-ZCZC-C2025-0006</w:t>
      </w:r>
      <w:r/>
    </w:p>
    <w:p>
      <w:pPr>
        <w:ind w:left="420"/>
        <w:rPr>
          <w:b/>
          <w:bCs/>
          <w:color w:val="auto"/>
          <w:sz w:val="28"/>
          <w:szCs w:val="36"/>
          <w:highlight w:val="none"/>
        </w:rPr>
      </w:pPr>
      <w:r>
        <w:rPr>
          <w:rFonts w:hint="eastAsia"/>
          <w:b/>
          <w:bCs/>
          <w:color w:val="auto"/>
          <w:sz w:val="28"/>
          <w:szCs w:val="36"/>
          <w:highlight w:val="none"/>
        </w:rPr>
        <w:t xml:space="preserve">采购人：泰州医药高新技术产业开发区（泰州市高港区）区级政府投资项目集中建设中心</w:t>
      </w:r>
      <w:r/>
    </w:p>
    <w:p>
      <w:pPr>
        <w:ind w:left="420"/>
        <w:rPr>
          <w:b/>
          <w:bCs/>
          <w:color w:val="auto"/>
          <w:sz w:val="28"/>
          <w:szCs w:val="36"/>
          <w:highlight w:val="none"/>
        </w:rPr>
      </w:pPr>
      <w:r>
        <w:rPr>
          <w:rFonts w:hint="eastAsia"/>
          <w:b/>
          <w:bCs/>
          <w:color w:val="auto"/>
          <w:sz w:val="28"/>
          <w:szCs w:val="36"/>
          <w:highlight w:val="none"/>
        </w:rPr>
        <w:t xml:space="preserve">采购代理机构：江苏中诚工程管理有限公司</w:t>
      </w:r>
      <w:r/>
    </w:p>
    <w:p>
      <w:pPr>
        <w:ind w:left="566" w:hanging="3"/>
        <w:jc w:val="left"/>
        <w:spacing w:line="480" w:lineRule="auto"/>
        <w:rPr>
          <w:rFonts w:asciiTheme="minorEastAsia" w:hAnsiTheme="minorEastAsia" w:cstheme="minorEastAsia"/>
          <w:b/>
          <w:color w:val="auto"/>
          <w:sz w:val="30"/>
          <w:szCs w:val="30"/>
          <w:highlight w:val="none"/>
        </w:rPr>
      </w:pPr>
      <w:r>
        <w:rPr>
          <w:rFonts w:asciiTheme="minorEastAsia" w:hAnsiTheme="minorEastAsia" w:cstheme="minorEastAsia"/>
          <w:b/>
          <w:color w:val="auto"/>
          <w:sz w:val="30"/>
          <w:szCs w:val="30"/>
          <w:highlight w:val="none"/>
        </w:rPr>
      </w:r>
      <w:r/>
    </w:p>
    <w:p>
      <w:pPr>
        <w:jc w:val="center"/>
        <w:spacing w:line="480" w:lineRule="auto"/>
        <w:rPr>
          <w:rFonts w:asciiTheme="minorEastAsia" w:hAnsiTheme="minorEastAsia" w:cstheme="minorEastAsia"/>
          <w:b/>
          <w:color w:val="auto"/>
          <w:sz w:val="30"/>
          <w:szCs w:val="30"/>
          <w:highlight w:val="none"/>
        </w:rPr>
      </w:pPr>
      <w:r>
        <w:rPr>
          <w:rFonts w:hint="eastAsia" w:asciiTheme="minorEastAsia" w:hAnsiTheme="minorEastAsia" w:cstheme="minorEastAsia"/>
          <w:b/>
          <w:color w:val="auto"/>
          <w:sz w:val="30"/>
          <w:szCs w:val="30"/>
          <w:highlight w:val="none"/>
        </w:rPr>
        <w:t xml:space="preserve">二</w:t>
      </w:r>
      <w:r>
        <w:rPr>
          <w:rFonts w:hint="eastAsia" w:asciiTheme="minorEastAsia" w:hAnsiTheme="minorEastAsia" w:cstheme="minorEastAsia"/>
          <w:b/>
          <w:color w:val="auto"/>
          <w:sz w:val="30"/>
          <w:szCs w:val="30"/>
          <w:highlight w:val="none"/>
          <w:lang w:val="en-US" w:eastAsia="zh-CN"/>
        </w:rPr>
        <w:t xml:space="preserve">O</w:t>
      </w:r>
      <w:r>
        <w:rPr>
          <w:rFonts w:hint="eastAsia" w:asciiTheme="minorEastAsia" w:hAnsiTheme="minorEastAsia" w:cstheme="minorEastAsia"/>
          <w:b/>
          <w:color w:val="auto"/>
          <w:sz w:val="30"/>
          <w:szCs w:val="30"/>
          <w:highlight w:val="none"/>
        </w:rPr>
        <w:t xml:space="preserve">二五年</w:t>
      </w:r>
      <w:r>
        <w:rPr>
          <w:rFonts w:hint="eastAsia" w:asciiTheme="minorEastAsia" w:hAnsiTheme="minorEastAsia" w:cstheme="minorEastAsia"/>
          <w:b/>
          <w:color w:val="auto"/>
          <w:sz w:val="30"/>
          <w:szCs w:val="30"/>
          <w:highlight w:val="none"/>
          <w:lang w:val="en-US" w:eastAsia="zh-CN"/>
        </w:rPr>
        <w:t xml:space="preserve">十二</w:t>
      </w:r>
      <w:r>
        <w:rPr>
          <w:rFonts w:hint="eastAsia" w:asciiTheme="minorEastAsia" w:hAnsiTheme="minorEastAsia" w:cstheme="minorEastAsia"/>
          <w:b/>
          <w:color w:val="auto"/>
          <w:sz w:val="30"/>
          <w:szCs w:val="30"/>
          <w:highlight w:val="none"/>
        </w:rPr>
        <w:t xml:space="preserve">月</w:t>
      </w:r>
      <w:r/>
    </w:p>
    <w:p>
      <w:pPr>
        <w:rPr>
          <w:rFonts w:asciiTheme="minorEastAsia" w:hAnsiTheme="minorEastAsia" w:cstheme="minorEastAsia"/>
          <w:b/>
          <w:color w:val="auto"/>
          <w:sz w:val="30"/>
          <w:szCs w:val="30"/>
          <w:highlight w:val="none"/>
        </w:rPr>
      </w:pPr>
      <w:r>
        <w:rPr>
          <w:color w:val="auto"/>
          <w:highlight w:val="none"/>
        </w:rPr>
        <w:br w:type="page" w:clear="all"/>
      </w:r>
      <w:r/>
    </w:p>
    <w:p>
      <w:pPr>
        <w:ind w:firstLine="560"/>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今年我市已正式启用“苏采云”系统，目前已全面开通政府采购线上合同信用融资（以下简称“政采贷”）功能。成交供应商可凭政府采购合同在中征平台发起贷款申请。</w:t>
      </w:r>
      <w:r/>
    </w:p>
    <w:p>
      <w:pPr>
        <w:spacing w:line="40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1.“政采贷”业务流程</w:t>
      </w:r>
      <w:r/>
    </w:p>
    <w:p>
      <w:pPr>
        <w:pStyle w:val="732"/>
        <w:jc w:val="both"/>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inline xmlns:wp="http://schemas.openxmlformats.org/drawingml/2006/wordprocessingDrawing" distT="0" distB="0" distL="0" distR="0">
                <wp:extent cx="5495925" cy="1443990"/>
                <wp:effectExtent l="0" t="0" r="9525" b="3810"/>
                <wp:docPr id="2"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675992174522"/>
                        <pic:cNvPicPr>
                          <a:picLocks noChangeAspect="1"/>
                        </pic:cNvPicPr>
                        <pic:nvPr/>
                      </pic:nvPicPr>
                      <pic:blipFill>
                        <a:blip r:embed="rId13"/>
                        <a:stretch/>
                      </pic:blipFill>
                      <pic:spPr bwMode="auto">
                        <a:xfrm>
                          <a:off x="0" y="0"/>
                          <a:ext cx="5495925" cy="1443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2.8pt;height:113.7pt;mso-wrap-distance-left:0.0pt;mso-wrap-distance-top:0.0pt;mso-wrap-distance-right:0.0pt;mso-wrap-distance-bottom:0.0pt;" stroked="f">
                <v:path textboxrect="0,0,0,0"/>
                <v:imagedata r:id="rId13" o:title=""/>
              </v:shape>
            </w:pict>
          </mc:Fallback>
        </mc:AlternateContent>
      </w:r>
      <w:r/>
    </w:p>
    <w:p>
      <w:pPr>
        <w:spacing w:line="40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2.常见问题</w:t>
      </w:r>
      <w:r/>
    </w:p>
    <w:p>
      <w:pPr>
        <w:ind w:firstLine="638"/>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Q1：哪些企业能申请“政采贷”？</w:t>
      </w:r>
      <w:r/>
    </w:p>
    <w:p>
      <w:pPr>
        <w:ind w:firstLine="638"/>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答：江苏省内采用国库集中支付的政府采购项目的中标供应商，可凭政府采购合同申请“政采贷”。</w:t>
      </w:r>
      <w:r/>
    </w:p>
    <w:p>
      <w:pPr>
        <w:ind w:firstLine="638"/>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Q2：供应商在哪里申请“政采贷”？</w:t>
      </w:r>
      <w:r/>
    </w:p>
    <w:p>
      <w:pPr>
        <w:ind w:firstLine="638"/>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答：中标供应商在“中征应收账款融资服务平台”（简称“中征平台”）上向意向银行发起融资申请。</w:t>
      </w:r>
      <w:r/>
    </w:p>
    <w:p>
      <w:pPr>
        <w:ind w:firstLine="638"/>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Q3：中标供应商要注意什么？</w:t>
      </w:r>
      <w:r/>
    </w:p>
    <w:p>
      <w:pPr>
        <w:ind w:firstLine="638"/>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答：中标供应商要加强和采购单位的沟通协调，尽早确定融资需求。需要“政采贷”融资的，政府采购合同付款账号应当空置。</w:t>
      </w:r>
      <w:r/>
    </w:p>
    <w:p>
      <w:pPr>
        <w:ind w:firstLine="638"/>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Q4：采购单位要做什么？</w:t>
      </w:r>
      <w:r/>
    </w:p>
    <w:p>
      <w:pPr>
        <w:ind w:firstLine="638"/>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ind w:firstLine="638"/>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Q5：“政采贷”融资失败怎么办？</w:t>
      </w:r>
      <w:r/>
    </w:p>
    <w:p>
      <w:pPr>
        <w:ind w:firstLine="638"/>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40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3.网址及联系方式</w:t>
      </w:r>
      <w:r/>
    </w:p>
    <w:p>
      <w:pPr>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政采贷：</w:t>
      </w:r>
      <w:r>
        <w:rPr>
          <w:rStyle w:val="740"/>
          <w:rFonts w:hint="eastAsia" w:ascii="仿宋" w:hAnsi="仿宋" w:eastAsia="仿宋" w:cs="仿宋"/>
          <w:color w:val="auto"/>
          <w:spacing w:val="1"/>
          <w:sz w:val="28"/>
          <w:szCs w:val="28"/>
          <w:highlight w:val="none"/>
        </w:rPr>
        <w:t xml:space="preserve">http://czj.taizhou.gov.cn/tzzfcgw/zcd/index.html</w:t>
      </w:r>
      <w:r/>
    </w:p>
    <w:p>
      <w:pPr>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中征平台：</w:t>
      </w:r>
      <w:r>
        <w:rPr>
          <w:color w:val="auto"/>
          <w:highlight w:val="none"/>
        </w:rPr>
        <w:fldChar w:fldCharType="begin"/>
      </w:r>
      <w:r>
        <w:rPr>
          <w:color w:val="auto"/>
          <w:highlight w:val="none"/>
        </w:rPr>
        <w:instrText xml:space="preserve"> HYPERLINK "https://www.crcrfsp.com/" \o "https://www.crcrfsp.com/" </w:instrText>
      </w:r>
      <w:r>
        <w:rPr>
          <w:color w:val="auto"/>
          <w:highlight w:val="none"/>
        </w:rPr>
        <w:fldChar w:fldCharType="separate"/>
      </w:r>
      <w:r>
        <w:rPr>
          <w:rStyle w:val="740"/>
          <w:rFonts w:hint="eastAsia" w:ascii="仿宋" w:hAnsi="仿宋" w:eastAsia="仿宋" w:cs="仿宋"/>
          <w:color w:val="auto"/>
          <w:spacing w:val="1"/>
          <w:sz w:val="28"/>
          <w:szCs w:val="28"/>
          <w:highlight w:val="none"/>
        </w:rPr>
        <w:t xml:space="preserve">https://www.crcrfsp.com/</w:t>
      </w:r>
      <w:r>
        <w:rPr>
          <w:rStyle w:val="740"/>
          <w:rFonts w:hint="eastAsia" w:ascii="仿宋" w:hAnsi="仿宋" w:eastAsia="仿宋" w:cs="仿宋"/>
          <w:color w:val="auto"/>
          <w:spacing w:val="1"/>
          <w:sz w:val="28"/>
          <w:szCs w:val="28"/>
          <w:highlight w:val="none"/>
        </w:rPr>
        <w:fldChar w:fldCharType="end"/>
      </w:r>
      <w:r/>
    </w:p>
    <w:p>
      <w:pPr>
        <w:rPr>
          <w:rFonts w:asciiTheme="minorEastAsia" w:hAnsiTheme="minorEastAsia" w:cstheme="minorEastAsia"/>
          <w:b/>
          <w:color w:val="auto"/>
          <w:sz w:val="30"/>
          <w:szCs w:val="30"/>
          <w:highlight w:val="none"/>
        </w:rPr>
      </w:pPr>
      <w:r>
        <w:rPr>
          <w:color w:val="auto"/>
          <w:highlight w:val="none"/>
        </w:rPr>
        <w:br w:type="page" w:clear="all"/>
      </w:r>
      <w:r/>
    </w:p>
    <w:sdt>
      <w:sdtPr>
        <w15:appearance w15:val="boundingBox"/>
        <w:id w:val="147469203"/>
        <w:docPartObj>
          <w:docPartGallery w:val="Table of Contents"/>
          <w:docPartUnique w:val="true"/>
        </w:docPartObj>
        <w:rPr>
          <w:rFonts w:ascii="宋体" w:hAnsi="宋体" w:eastAsia="宋体"/>
          <w:b/>
          <w:bCs/>
          <w:color w:val="auto"/>
          <w:sz w:val="32"/>
          <w:szCs w:val="40"/>
          <w:highlight w:val="none"/>
        </w:rPr>
      </w:sdtPr>
      <w:sdtContent>
        <w:p>
          <w:pPr>
            <w:jc w:val="center"/>
            <w:rPr>
              <w:b/>
              <w:bCs/>
              <w:color w:val="auto"/>
              <w:sz w:val="32"/>
              <w:szCs w:val="40"/>
              <w:highlight w:val="none"/>
            </w:rPr>
          </w:pPr>
          <w:r>
            <w:rPr>
              <w:rFonts w:ascii="宋体" w:hAnsi="宋体" w:eastAsia="宋体"/>
              <w:b/>
              <w:bCs/>
              <w:color w:val="auto"/>
              <w:sz w:val="32"/>
              <w:szCs w:val="40"/>
              <w:highlight w:val="none"/>
            </w:rPr>
            <w:t xml:space="preserve">目</w:t>
          </w:r>
          <w:r>
            <w:rPr>
              <w:rFonts w:hint="eastAsia" w:ascii="宋体" w:hAnsi="宋体" w:eastAsia="宋体"/>
              <w:b/>
              <w:bCs/>
              <w:color w:val="auto"/>
              <w:sz w:val="32"/>
              <w:szCs w:val="40"/>
              <w:highlight w:val="none"/>
            </w:rPr>
            <w:t xml:space="preserve"> </w:t>
          </w:r>
          <w:r>
            <w:rPr>
              <w:rFonts w:ascii="宋体" w:hAnsi="宋体" w:eastAsia="宋体"/>
              <w:b/>
              <w:bCs/>
              <w:color w:val="auto"/>
              <w:sz w:val="32"/>
              <w:szCs w:val="40"/>
              <w:highlight w:val="none"/>
            </w:rPr>
            <w:t xml:space="preserve">录</w:t>
          </w:r>
          <w:r/>
        </w:p>
        <w:p>
          <w:pPr>
            <w:pStyle w:val="722"/>
            <w:tabs>
              <w:tab w:val="right" w:pos="8400" w:leader="dot"/>
            </w:tabs>
            <w:rPr>
              <w:color w:val="auto"/>
              <w:highlight w:val="none"/>
            </w:rPr>
          </w:pPr>
          <w:r>
            <w:rPr>
              <w:color w:val="auto"/>
              <w:highlight w:val="none"/>
            </w:rPr>
            <w:fldChar w:fldCharType="begin"/>
          </w:r>
          <w:r>
            <w:rPr>
              <w:color w:val="auto"/>
              <w:highlight w:val="none"/>
            </w:rPr>
            <w:instrText xml:space="preserve">TOC \o "1-3" \h \u</w:instrText>
          </w:r>
          <w:r>
            <w:rPr>
              <w:color w:val="auto"/>
              <w:highlight w:val="none"/>
            </w:rPr>
            <w:fldChar w:fldCharType="separate"/>
          </w:r>
          <w:r>
            <w:rPr>
              <w:color w:val="auto"/>
              <w:highlight w:val="none"/>
            </w:rPr>
            <w:fldChar w:fldCharType="begin"/>
          </w:r>
          <w:r>
            <w:rPr>
              <w:color w:val="auto"/>
              <w:highlight w:val="none"/>
            </w:rPr>
            <w:instrText xml:space="preserve"> HYPERLINK \l "_Toc22126" </w:instrText>
          </w:r>
          <w:r>
            <w:rPr>
              <w:color w:val="auto"/>
              <w:highlight w:val="none"/>
            </w:rPr>
            <w:fldChar w:fldCharType="separate"/>
          </w:r>
          <w:r>
            <w:rPr>
              <w:rFonts w:hint="eastAsia" w:ascii="黑体" w:hAnsi="黑体" w:eastAsia="黑体" w:cs="黑体"/>
              <w:color w:val="auto"/>
              <w:szCs w:val="22"/>
              <w:highlight w:val="none"/>
            </w:rPr>
            <w:t xml:space="preserve">第一章  竞争性磋商公告</w:t>
          </w:r>
          <w:r>
            <w:rPr>
              <w:color w:val="auto"/>
              <w:highlight w:val="none"/>
            </w:rPr>
            <w:tab/>
          </w:r>
          <w:r>
            <w:rPr>
              <w:color w:val="auto"/>
              <w:highlight w:val="none"/>
            </w:rPr>
            <w:fldChar w:fldCharType="begin"/>
          </w:r>
          <w:r>
            <w:rPr>
              <w:color w:val="auto"/>
              <w:highlight w:val="none"/>
            </w:rPr>
            <w:instrText xml:space="preserve"> PAGEREF _Toc22126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"_Toc11527" </w:instrText>
          </w:r>
          <w:r>
            <w:rPr>
              <w:color w:val="auto"/>
              <w:highlight w:val="none"/>
            </w:rPr>
            <w:fldChar w:fldCharType="separate"/>
          </w:r>
          <w:r>
            <w:rPr>
              <w:rFonts w:hint="eastAsia" w:ascii="宋体" w:hAnsi="宋体" w:eastAsia="宋体" w:cs="宋体"/>
              <w:bCs/>
              <w:color w:val="auto"/>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_Toc11527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"_Toc17425" </w:instrText>
          </w:r>
          <w:r>
            <w:rPr>
              <w:color w:val="auto"/>
              <w:highlight w:val="none"/>
            </w:rPr>
            <w:fldChar w:fldCharType="separate"/>
          </w:r>
          <w:r>
            <w:rPr>
              <w:rFonts w:hint="eastAsia" w:ascii="宋体" w:hAnsi="宋体" w:eastAsia="宋体" w:cs="宋体"/>
              <w:bCs/>
              <w:color w:val="auto"/>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_Toc17425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"_Toc25700" </w:instrText>
          </w:r>
          <w:r>
            <w:rPr>
              <w:color w:val="auto"/>
              <w:highlight w:val="none"/>
            </w:rPr>
            <w:fldChar w:fldCharType="separate"/>
          </w:r>
          <w:r>
            <w:rPr>
              <w:rFonts w:hint="eastAsia" w:ascii="宋体" w:hAnsi="宋体" w:eastAsia="宋体" w:cs="宋体"/>
              <w:bCs/>
              <w:color w:val="auto"/>
              <w:highlight w:val="none"/>
            </w:rPr>
            <w:t xml:space="preserve">三、获取采购文件</w:t>
          </w:r>
          <w:r>
            <w:rPr>
              <w:color w:val="auto"/>
              <w:highlight w:val="none"/>
            </w:rPr>
            <w:tab/>
          </w:r>
          <w:r>
            <w:rPr>
              <w:color w:val="auto"/>
              <w:highlight w:val="none"/>
            </w:rPr>
            <w:fldChar w:fldCharType="begin"/>
          </w:r>
          <w:r>
            <w:rPr>
              <w:color w:val="auto"/>
              <w:highlight w:val="none"/>
            </w:rPr>
            <w:instrText xml:space="preserve"> PAGEREF _Toc25700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"_Toc28997" </w:instrText>
          </w:r>
          <w:r>
            <w:rPr>
              <w:color w:val="auto"/>
              <w:highlight w:val="none"/>
            </w:rPr>
            <w:fldChar w:fldCharType="separate"/>
          </w:r>
          <w:r>
            <w:rPr>
              <w:rFonts w:hint="eastAsia" w:ascii="宋体" w:hAnsi="宋体" w:eastAsia="宋体" w:cs="宋体"/>
              <w:bCs/>
              <w:color w:val="auto"/>
              <w:highlight w:val="none"/>
            </w:rPr>
            <w:t xml:space="preserve">四、响应文件提交</w:t>
          </w:r>
          <w:r>
            <w:rPr>
              <w:color w:val="auto"/>
              <w:highlight w:val="none"/>
            </w:rPr>
            <w:tab/>
          </w:r>
          <w:r>
            <w:rPr>
              <w:color w:val="auto"/>
              <w:highlight w:val="none"/>
            </w:rPr>
            <w:fldChar w:fldCharType="begin"/>
          </w:r>
          <w:r>
            <w:rPr>
              <w:color w:val="auto"/>
              <w:highlight w:val="none"/>
            </w:rPr>
            <w:instrText xml:space="preserve"> PAGEREF _Toc28997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"_Toc26242" </w:instrText>
          </w:r>
          <w:r>
            <w:rPr>
              <w:color w:val="auto"/>
              <w:highlight w:val="none"/>
            </w:rPr>
            <w:fldChar w:fldCharType="separate"/>
          </w:r>
          <w:r>
            <w:rPr>
              <w:rFonts w:hint="eastAsia" w:ascii="宋体" w:hAnsi="宋体" w:eastAsia="宋体" w:cs="宋体"/>
              <w:bCs/>
              <w:color w:val="auto"/>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_Toc26242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"_Toc17116" </w:instrText>
          </w:r>
          <w:r>
            <w:rPr>
              <w:color w:val="auto"/>
              <w:highlight w:val="none"/>
            </w:rPr>
            <w:fldChar w:fldCharType="separate"/>
          </w:r>
          <w:r>
            <w:rPr>
              <w:rFonts w:hint="eastAsia" w:ascii="宋体" w:hAnsi="宋体" w:eastAsia="宋体" w:cs="宋体"/>
              <w:bCs/>
              <w:color w:val="auto"/>
              <w:highlight w:val="none"/>
            </w:rPr>
            <w:t xml:space="preserve">六、公告期限</w:t>
          </w:r>
          <w:r>
            <w:rPr>
              <w:color w:val="auto"/>
              <w:highlight w:val="none"/>
            </w:rPr>
            <w:tab/>
          </w:r>
          <w:r>
            <w:rPr>
              <w:color w:val="auto"/>
              <w:highlight w:val="none"/>
            </w:rPr>
            <w:fldChar w:fldCharType="begin"/>
          </w:r>
          <w:r>
            <w:rPr>
              <w:color w:val="auto"/>
              <w:highlight w:val="none"/>
            </w:rPr>
            <w:instrText xml:space="preserve"> PAGEREF _Toc17116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"_Toc2703" </w:instrText>
          </w:r>
          <w:r>
            <w:rPr>
              <w:color w:val="auto"/>
              <w:highlight w:val="none"/>
            </w:rPr>
            <w:fldChar w:fldCharType="separate"/>
          </w:r>
          <w:r>
            <w:rPr>
              <w:rFonts w:hint="eastAsia" w:ascii="宋体" w:hAnsi="宋体" w:eastAsia="宋体" w:cs="宋体"/>
              <w:bCs/>
              <w:color w:val="auto"/>
              <w:highlight w:val="none"/>
            </w:rPr>
            <w:t xml:space="preserve">七、其他补充事宜</w:t>
          </w:r>
          <w:r>
            <w:rPr>
              <w:color w:val="auto"/>
              <w:highlight w:val="none"/>
            </w:rPr>
            <w:tab/>
          </w:r>
          <w:r>
            <w:rPr>
              <w:color w:val="auto"/>
              <w:highlight w:val="none"/>
            </w:rPr>
            <w:fldChar w:fldCharType="begin"/>
          </w:r>
          <w:r>
            <w:rPr>
              <w:color w:val="auto"/>
              <w:highlight w:val="none"/>
            </w:rPr>
            <w:instrText xml:space="preserve"> PAGEREF _Toc2703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"_Toc10850" </w:instrText>
          </w:r>
          <w:r>
            <w:rPr>
              <w:color w:val="auto"/>
              <w:highlight w:val="none"/>
            </w:rPr>
            <w:fldChar w:fldCharType="separate"/>
          </w:r>
          <w:r>
            <w:rPr>
              <w:rFonts w:hint="eastAsia" w:ascii="宋体" w:hAnsi="宋体" w:eastAsia="宋体" w:cs="宋体"/>
              <w:color w:val="auto"/>
              <w:highlight w:val="none"/>
            </w:rPr>
            <w:t xml:space="preserve">如潜在供应商未按上述要求操作，将自行承担所产生的风险。</w:t>
          </w:r>
          <w:r>
            <w:rPr>
              <w:color w:val="auto"/>
              <w:highlight w:val="none"/>
            </w:rPr>
            <w:tab/>
          </w:r>
          <w:r>
            <w:rPr>
              <w:color w:val="auto"/>
              <w:highlight w:val="none"/>
            </w:rPr>
            <w:fldChar w:fldCharType="begin"/>
          </w:r>
          <w:r>
            <w:rPr>
              <w:color w:val="auto"/>
              <w:highlight w:val="none"/>
            </w:rPr>
            <w:instrText xml:space="preserve"> PAGEREF _Toc10850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"_Toc32406" </w:instrText>
          </w:r>
          <w:r>
            <w:rPr>
              <w:color w:val="auto"/>
              <w:highlight w:val="none"/>
            </w:rPr>
            <w:fldChar w:fldCharType="separate"/>
          </w:r>
          <w:r>
            <w:rPr>
              <w:rFonts w:hint="eastAsia" w:ascii="宋体" w:hAnsi="宋体" w:eastAsia="宋体" w:cs="宋体"/>
              <w:bCs/>
              <w:color w:val="auto"/>
              <w:highlight w:val="none"/>
            </w:rPr>
            <w:t xml:space="preserve">八、凡对本次采购提出询问，请按以下方式联系。</w:t>
          </w:r>
          <w:r>
            <w:rPr>
              <w:color w:val="auto"/>
              <w:highlight w:val="none"/>
            </w:rPr>
            <w:tab/>
          </w:r>
          <w:r>
            <w:rPr>
              <w:color w:val="auto"/>
              <w:highlight w:val="none"/>
            </w:rPr>
            <w:fldChar w:fldCharType="begin"/>
          </w:r>
          <w:r>
            <w:rPr>
              <w:color w:val="auto"/>
              <w:highlight w:val="none"/>
            </w:rPr>
            <w:instrText xml:space="preserve"> PAGEREF _Toc32406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722"/>
            <w:tabs>
              <w:tab w:val="right" w:pos="8400" w:leader="dot"/>
            </w:tabs>
            <w:rPr>
              <w:color w:val="auto"/>
              <w:highlight w:val="none"/>
            </w:rPr>
          </w:pPr>
          <w:r>
            <w:rPr>
              <w:color w:val="auto"/>
              <w:highlight w:val="none"/>
            </w:rPr>
            <w:fldChar w:fldCharType="begin"/>
          </w:r>
          <w:r>
            <w:rPr>
              <w:color w:val="auto"/>
              <w:highlight w:val="none"/>
            </w:rPr>
            <w:instrText xml:space="preserve"> HYPERLINK \l "_Toc23969" </w:instrText>
          </w:r>
          <w:r>
            <w:rPr>
              <w:color w:val="auto"/>
              <w:highlight w:val="none"/>
            </w:rPr>
            <w:fldChar w:fldCharType="separate"/>
          </w:r>
          <w:r>
            <w:rPr>
              <w:rFonts w:hint="eastAsia" w:ascii="黑体" w:hAnsi="黑体" w:eastAsia="黑体" w:cs="黑体"/>
              <w:color w:val="auto"/>
              <w:szCs w:val="22"/>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_Toc23969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"_Toc2430" </w:instrText>
          </w:r>
          <w:r>
            <w:rPr>
              <w:color w:val="auto"/>
              <w:highlight w:val="none"/>
            </w:rPr>
            <w:fldChar w:fldCharType="separate"/>
          </w:r>
          <w:r>
            <w:rPr>
              <w:rFonts w:hint="eastAsia" w:ascii="黑体" w:hAnsi="黑体" w:eastAsia="黑体" w:cs="黑体"/>
              <w:color w:val="auto"/>
              <w:szCs w:val="28"/>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_Toc2430 \h </w:instrText>
          </w:r>
          <w:r>
            <w:rPr>
              <w:color w:val="auto"/>
              <w:highlight w:val="none"/>
            </w:rPr>
            <w:fldChar w:fldCharType="separate"/>
          </w:r>
          <w:r>
            <w:rPr>
              <w:color w:val="auto"/>
              <w:highlight w:val="none"/>
            </w:rPr>
            <w:t xml:space="preserve">11</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"_Toc22302" </w:instrText>
          </w:r>
          <w:r>
            <w:rPr>
              <w:color w:val="auto"/>
              <w:highlight w:val="none"/>
            </w:rPr>
            <w:fldChar w:fldCharType="separate"/>
          </w:r>
          <w:r>
            <w:rPr>
              <w:rFonts w:hint="eastAsia" w:ascii="黑体" w:hAnsi="黑体" w:eastAsia="黑体" w:cs="黑体"/>
              <w:color w:val="auto"/>
              <w:szCs w:val="28"/>
              <w:highlight w:val="none"/>
            </w:rPr>
            <w:t xml:space="preserve">一  说明</w:t>
          </w:r>
          <w:r>
            <w:rPr>
              <w:color w:val="auto"/>
              <w:highlight w:val="none"/>
            </w:rPr>
            <w:tab/>
          </w:r>
          <w:r>
            <w:rPr>
              <w:color w:val="auto"/>
              <w:highlight w:val="none"/>
            </w:rPr>
            <w:fldChar w:fldCharType="begin"/>
          </w:r>
          <w:r>
            <w:rPr>
              <w:color w:val="auto"/>
              <w:highlight w:val="none"/>
            </w:rPr>
            <w:instrText xml:space="preserve"> PAGEREF _Toc22302 \h </w:instrText>
          </w:r>
          <w:r>
            <w:rPr>
              <w:color w:val="auto"/>
              <w:highlight w:val="none"/>
            </w:rPr>
            <w:fldChar w:fldCharType="separate"/>
          </w:r>
          <w:r>
            <w:rPr>
              <w:color w:val="auto"/>
              <w:highlight w:val="none"/>
            </w:rPr>
            <w:t xml:space="preserve">11</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"_Toc13829" </w:instrText>
          </w:r>
          <w:r>
            <w:rPr>
              <w:color w:val="auto"/>
              <w:highlight w:val="none"/>
            </w:rPr>
            <w:fldChar w:fldCharType="separate"/>
          </w:r>
          <w:r>
            <w:rPr>
              <w:rFonts w:hint="eastAsia" w:asciiTheme="minorEastAsia" w:hAnsiTheme="minorEastAsia" w:cstheme="minorEastAsia"/>
              <w:bCs/>
              <w:color w:val="auto"/>
              <w:szCs w:val="23"/>
              <w:highlight w:val="none"/>
            </w:rPr>
            <w:t xml:space="preserve">1相关概念或定义</w:t>
          </w:r>
          <w:r>
            <w:rPr>
              <w:color w:val="auto"/>
              <w:highlight w:val="none"/>
            </w:rPr>
            <w:tab/>
          </w:r>
          <w:r>
            <w:rPr>
              <w:color w:val="auto"/>
              <w:highlight w:val="none"/>
            </w:rPr>
            <w:fldChar w:fldCharType="begin"/>
          </w:r>
          <w:r>
            <w:rPr>
              <w:color w:val="auto"/>
              <w:highlight w:val="none"/>
            </w:rPr>
            <w:instrText xml:space="preserve"> PAGEREF _Toc13829 \h </w:instrText>
          </w:r>
          <w:r>
            <w:rPr>
              <w:color w:val="auto"/>
              <w:highlight w:val="none"/>
            </w:rPr>
            <w:fldChar w:fldCharType="separate"/>
          </w:r>
          <w:r>
            <w:rPr>
              <w:color w:val="auto"/>
              <w:highlight w:val="none"/>
            </w:rPr>
            <w:t xml:space="preserve">11</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"_Toc20392" </w:instrText>
          </w:r>
          <w:r>
            <w:rPr>
              <w:color w:val="auto"/>
              <w:highlight w:val="none"/>
            </w:rPr>
            <w:fldChar w:fldCharType="separate"/>
          </w:r>
          <w:r>
            <w:rPr>
              <w:rFonts w:hint="eastAsia" w:asciiTheme="minorEastAsia" w:hAnsiTheme="minorEastAsia" w:cstheme="minorEastAsia"/>
              <w:bCs/>
              <w:color w:val="auto"/>
              <w:szCs w:val="23"/>
              <w:highlight w:val="none"/>
            </w:rPr>
            <w:t xml:space="preserve">2资金来源、项目属性、科研仪器设备采购</w:t>
          </w:r>
          <w:r>
            <w:rPr>
              <w:color w:val="auto"/>
              <w:highlight w:val="none"/>
            </w:rPr>
            <w:tab/>
          </w:r>
          <w:r>
            <w:rPr>
              <w:color w:val="auto"/>
              <w:highlight w:val="none"/>
            </w:rPr>
            <w:fldChar w:fldCharType="begin"/>
          </w:r>
          <w:r>
            <w:rPr>
              <w:color w:val="auto"/>
              <w:highlight w:val="none"/>
            </w:rPr>
            <w:instrText xml:space="preserve"> PAGEREF _Toc20392 \h </w:instrText>
          </w:r>
          <w:r>
            <w:rPr>
              <w:color w:val="auto"/>
              <w:highlight w:val="none"/>
            </w:rPr>
            <w:fldChar w:fldCharType="separate"/>
          </w:r>
          <w:r>
            <w:rPr>
              <w:color w:val="auto"/>
              <w:highlight w:val="none"/>
            </w:rPr>
            <w:t xml:space="preserve">11</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"_Toc30373" </w:instrText>
          </w:r>
          <w:r>
            <w:rPr>
              <w:color w:val="auto"/>
              <w:highlight w:val="none"/>
            </w:rPr>
            <w:fldChar w:fldCharType="separate"/>
          </w:r>
          <w:r>
            <w:rPr>
              <w:rFonts w:hint="eastAsia" w:asciiTheme="minorEastAsia" w:hAnsiTheme="minorEastAsia" w:cstheme="minorEastAsia"/>
              <w:bCs/>
              <w:color w:val="auto"/>
              <w:szCs w:val="23"/>
              <w:highlight w:val="none"/>
            </w:rPr>
            <w:t xml:space="preserve">3现场考察、磋商前答疑会</w:t>
          </w:r>
          <w:r>
            <w:rPr>
              <w:color w:val="auto"/>
              <w:highlight w:val="none"/>
            </w:rPr>
            <w:tab/>
          </w:r>
          <w:r>
            <w:rPr>
              <w:color w:val="auto"/>
              <w:highlight w:val="none"/>
            </w:rPr>
            <w:fldChar w:fldCharType="begin"/>
          </w:r>
          <w:r>
            <w:rPr>
              <w:color w:val="auto"/>
              <w:highlight w:val="none"/>
            </w:rPr>
            <w:instrText xml:space="preserve"> PAGEREF _Toc30373 \h </w:instrText>
          </w:r>
          <w:r>
            <w:rPr>
              <w:color w:val="auto"/>
              <w:highlight w:val="none"/>
            </w:rPr>
            <w:fldChar w:fldCharType="separate"/>
          </w:r>
          <w:r>
            <w:rPr>
              <w:color w:val="auto"/>
              <w:highlight w:val="none"/>
            </w:rPr>
            <w:t xml:space="preserve">11</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"_Toc8495" </w:instrText>
          </w:r>
          <w:r>
            <w:rPr>
              <w:color w:val="auto"/>
              <w:highlight w:val="none"/>
            </w:rPr>
            <w:fldChar w:fldCharType="separate"/>
          </w:r>
          <w:r>
            <w:rPr>
              <w:rFonts w:hint="eastAsia" w:asciiTheme="minorEastAsia" w:hAnsiTheme="minorEastAsia" w:cstheme="minorEastAsia"/>
              <w:bCs/>
              <w:color w:val="auto"/>
              <w:szCs w:val="23"/>
              <w:highlight w:val="none"/>
            </w:rPr>
            <w:t xml:space="preserve">4政府采购政策（包括但不限于下列具体政策要求）</w:t>
          </w:r>
          <w:r>
            <w:rPr>
              <w:color w:val="auto"/>
              <w:highlight w:val="none"/>
            </w:rPr>
            <w:tab/>
          </w:r>
          <w:r>
            <w:rPr>
              <w:color w:val="auto"/>
              <w:highlight w:val="none"/>
            </w:rPr>
            <w:fldChar w:fldCharType="begin"/>
          </w:r>
          <w:r>
            <w:rPr>
              <w:color w:val="auto"/>
              <w:highlight w:val="none"/>
            </w:rPr>
            <w:instrText xml:space="preserve"> PAGEREF _Toc8495 \h </w:instrText>
          </w:r>
          <w:r>
            <w:rPr>
              <w:color w:val="auto"/>
              <w:highlight w:val="none"/>
            </w:rPr>
            <w:fldChar w:fldCharType="separate"/>
          </w:r>
          <w:r>
            <w:rPr>
              <w:color w:val="auto"/>
              <w:highlight w:val="none"/>
            </w:rPr>
            <w:t xml:space="preserve">11</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"_Toc4478" </w:instrText>
          </w:r>
          <w:r>
            <w:rPr>
              <w:color w:val="auto"/>
              <w:highlight w:val="none"/>
            </w:rPr>
            <w:fldChar w:fldCharType="separate"/>
          </w:r>
          <w:r>
            <w:rPr>
              <w:rFonts w:hint="eastAsia" w:asciiTheme="minorEastAsia" w:hAnsiTheme="minorEastAsia" w:cstheme="minorEastAsia"/>
              <w:bCs/>
              <w:color w:val="auto"/>
              <w:szCs w:val="23"/>
              <w:highlight w:val="none"/>
            </w:rPr>
            <w:t xml:space="preserve">5响应费用</w:t>
          </w:r>
          <w:r>
            <w:rPr>
              <w:color w:val="auto"/>
              <w:highlight w:val="none"/>
            </w:rPr>
            <w:tab/>
          </w:r>
          <w:r>
            <w:rPr>
              <w:color w:val="auto"/>
              <w:highlight w:val="none"/>
            </w:rPr>
            <w:fldChar w:fldCharType="begin"/>
          </w:r>
          <w:r>
            <w:rPr>
              <w:color w:val="auto"/>
              <w:highlight w:val="none"/>
            </w:rPr>
            <w:instrText xml:space="preserve"> PAGEREF _Toc4478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"_Toc17787" </w:instrText>
          </w:r>
          <w:r>
            <w:rPr>
              <w:color w:val="auto"/>
              <w:highlight w:val="none"/>
            </w:rPr>
            <w:fldChar w:fldCharType="separate"/>
          </w:r>
          <w:r>
            <w:rPr>
              <w:rFonts w:hint="eastAsia" w:ascii="黑体" w:hAnsi="黑体" w:eastAsia="黑体" w:cs="黑体"/>
              <w:color w:val="auto"/>
              <w:szCs w:val="28"/>
              <w:highlight w:val="none"/>
            </w:rPr>
            <w:t xml:space="preserve">二  竞争性磋商文件</w:t>
          </w:r>
          <w:r>
            <w:rPr>
              <w:color w:val="auto"/>
              <w:highlight w:val="none"/>
            </w:rPr>
            <w:tab/>
          </w:r>
          <w:r>
            <w:rPr>
              <w:color w:val="auto"/>
              <w:highlight w:val="none"/>
            </w:rPr>
            <w:fldChar w:fldCharType="begin"/>
          </w:r>
          <w:r>
            <w:rPr>
              <w:color w:val="auto"/>
              <w:highlight w:val="none"/>
            </w:rPr>
            <w:instrText xml:space="preserve"> PAGEREF _Toc17787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"_Toc23740" </w:instrText>
          </w:r>
          <w:r>
            <w:rPr>
              <w:color w:val="auto"/>
              <w:highlight w:val="none"/>
            </w:rPr>
            <w:fldChar w:fldCharType="separate"/>
          </w:r>
          <w:r>
            <w:rPr>
              <w:rFonts w:hint="eastAsia" w:asciiTheme="minorEastAsia" w:hAnsiTheme="minorEastAsia" w:cstheme="minorEastAsia"/>
              <w:bCs/>
              <w:color w:val="auto"/>
              <w:szCs w:val="23"/>
              <w:highlight w:val="none"/>
            </w:rPr>
            <w:t xml:space="preserve">6竞争性磋商文件构成</w:t>
          </w:r>
          <w:r>
            <w:rPr>
              <w:color w:val="auto"/>
              <w:highlight w:val="none"/>
            </w:rPr>
            <w:tab/>
          </w:r>
          <w:r>
            <w:rPr>
              <w:color w:val="auto"/>
              <w:highlight w:val="none"/>
            </w:rPr>
            <w:fldChar w:fldCharType="begin"/>
          </w:r>
          <w:r>
            <w:rPr>
              <w:color w:val="auto"/>
              <w:highlight w:val="none"/>
            </w:rPr>
            <w:instrText xml:space="preserve"> PAGEREF _Toc23740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"_Toc30589" </w:instrText>
          </w:r>
          <w:r>
            <w:rPr>
              <w:color w:val="auto"/>
              <w:highlight w:val="none"/>
            </w:rPr>
            <w:fldChar w:fldCharType="separate"/>
          </w:r>
          <w:r>
            <w:rPr>
              <w:rFonts w:hint="eastAsia" w:asciiTheme="minorEastAsia" w:hAnsiTheme="minorEastAsia" w:cstheme="minorEastAsia"/>
              <w:bCs/>
              <w:color w:val="auto"/>
              <w:szCs w:val="23"/>
              <w:highlight w:val="none"/>
            </w:rPr>
            <w:t xml:space="preserve">7对竞争性磋商文件的澄清或修改</w:t>
          </w:r>
          <w:r>
            <w:rPr>
              <w:color w:val="auto"/>
              <w:highlight w:val="none"/>
            </w:rPr>
            <w:tab/>
          </w:r>
          <w:r>
            <w:rPr>
              <w:color w:val="auto"/>
              <w:highlight w:val="none"/>
            </w:rPr>
            <w:fldChar w:fldCharType="begin"/>
          </w:r>
          <w:r>
            <w:rPr>
              <w:color w:val="auto"/>
              <w:highlight w:val="none"/>
            </w:rPr>
            <w:instrText xml:space="preserve"> PAGEREF _Toc30589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"_Toc22299" </w:instrText>
          </w:r>
          <w:r>
            <w:rPr>
              <w:color w:val="auto"/>
              <w:highlight w:val="none"/>
            </w:rPr>
            <w:fldChar w:fldCharType="separate"/>
          </w:r>
          <w:r>
            <w:rPr>
              <w:rFonts w:hint="eastAsia" w:ascii="黑体" w:hAnsi="黑体" w:eastAsia="黑体" w:cs="黑体"/>
              <w:color w:val="auto"/>
              <w:szCs w:val="28"/>
              <w:highlight w:val="none"/>
            </w:rPr>
            <w:t xml:space="preserve">三  响应文件的编制</w:t>
          </w:r>
          <w:r>
            <w:rPr>
              <w:color w:val="auto"/>
              <w:highlight w:val="none"/>
            </w:rPr>
            <w:tab/>
          </w:r>
          <w:r>
            <w:rPr>
              <w:color w:val="auto"/>
              <w:highlight w:val="none"/>
            </w:rPr>
            <w:fldChar w:fldCharType="begin"/>
          </w:r>
          <w:r>
            <w:rPr>
              <w:color w:val="auto"/>
              <w:highlight w:val="none"/>
            </w:rPr>
            <w:instrText xml:space="preserve"> PAGEREF _Toc22299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"_Toc29778" </w:instrText>
          </w:r>
          <w:r>
            <w:rPr>
              <w:color w:val="auto"/>
              <w:highlight w:val="none"/>
            </w:rPr>
            <w:fldChar w:fldCharType="separate"/>
          </w:r>
          <w:r>
            <w:rPr>
              <w:rFonts w:hint="eastAsia" w:asciiTheme="minorEastAsia" w:hAnsiTheme="minorEastAsia" w:cstheme="minorEastAsia"/>
              <w:bCs/>
              <w:color w:val="auto"/>
              <w:szCs w:val="23"/>
              <w:highlight w:val="none"/>
            </w:rPr>
            <w:t xml:space="preserve">8响应范围、竞争性磋商文件中计量单位的使用及磋商语言</w:t>
          </w:r>
          <w:r>
            <w:rPr>
              <w:color w:val="auto"/>
              <w:highlight w:val="none"/>
            </w:rPr>
            <w:tab/>
          </w:r>
          <w:r>
            <w:rPr>
              <w:color w:val="auto"/>
              <w:highlight w:val="none"/>
            </w:rPr>
            <w:fldChar w:fldCharType="begin"/>
          </w:r>
          <w:r>
            <w:rPr>
              <w:color w:val="auto"/>
              <w:highlight w:val="none"/>
            </w:rPr>
            <w:instrText xml:space="preserve"> PAGEREF _Toc29778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"_Toc17766" </w:instrText>
          </w:r>
          <w:r>
            <w:rPr>
              <w:color w:val="auto"/>
              <w:highlight w:val="none"/>
            </w:rPr>
            <w:fldChar w:fldCharType="separate"/>
          </w:r>
          <w:r>
            <w:rPr>
              <w:rFonts w:hint="eastAsia" w:asciiTheme="minorEastAsia" w:hAnsiTheme="minorEastAsia" w:cstheme="minorEastAsia"/>
              <w:bCs/>
              <w:color w:val="auto"/>
              <w:szCs w:val="23"/>
              <w:highlight w:val="none"/>
            </w:rPr>
            <w:t xml:space="preserve">9响应文件构成</w:t>
          </w:r>
          <w:r>
            <w:rPr>
              <w:color w:val="auto"/>
              <w:highlight w:val="none"/>
            </w:rPr>
            <w:tab/>
          </w:r>
          <w:r>
            <w:rPr>
              <w:color w:val="auto"/>
              <w:highlight w:val="none"/>
            </w:rPr>
            <w:fldChar w:fldCharType="begin"/>
          </w:r>
          <w:r>
            <w:rPr>
              <w:color w:val="auto"/>
              <w:highlight w:val="none"/>
            </w:rPr>
            <w:instrText xml:space="preserve"> PAGEREF _Toc17766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"_Toc305" </w:instrText>
          </w:r>
          <w:r>
            <w:rPr>
              <w:color w:val="auto"/>
              <w:highlight w:val="none"/>
            </w:rPr>
            <w:fldChar w:fldCharType="separate"/>
          </w:r>
          <w:r>
            <w:rPr>
              <w:rFonts w:hint="eastAsia" w:asciiTheme="minorEastAsia" w:hAnsiTheme="minorEastAsia" w:cstheme="minorEastAsia"/>
              <w:bCs/>
              <w:color w:val="auto"/>
              <w:szCs w:val="23"/>
              <w:highlight w:val="none"/>
            </w:rPr>
            <w:t xml:space="preserve">10报价</w:t>
          </w:r>
          <w:r>
            <w:rPr>
              <w:color w:val="auto"/>
              <w:highlight w:val="none"/>
            </w:rPr>
            <w:tab/>
          </w:r>
          <w:r>
            <w:rPr>
              <w:color w:val="auto"/>
              <w:highlight w:val="none"/>
            </w:rPr>
            <w:fldChar w:fldCharType="begin"/>
          </w:r>
          <w:r>
            <w:rPr>
              <w:color w:val="auto"/>
              <w:highlight w:val="none"/>
            </w:rPr>
            <w:instrText xml:space="preserve"> PAGEREF _Toc305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"_Toc1326" </w:instrText>
          </w:r>
          <w:r>
            <w:rPr>
              <w:color w:val="auto"/>
              <w:highlight w:val="none"/>
            </w:rPr>
            <w:fldChar w:fldCharType="separate"/>
          </w:r>
          <w:r>
            <w:rPr>
              <w:rFonts w:hint="eastAsia" w:asciiTheme="minorEastAsia" w:hAnsiTheme="minorEastAsia" w:cstheme="minorEastAsia"/>
              <w:bCs/>
              <w:color w:val="auto"/>
              <w:szCs w:val="23"/>
              <w:highlight w:val="none"/>
            </w:rPr>
            <w:t xml:space="preserve">11磋商保证金</w:t>
          </w:r>
          <w:r>
            <w:rPr>
              <w:color w:val="auto"/>
              <w:highlight w:val="none"/>
            </w:rPr>
            <w:tab/>
          </w:r>
          <w:r>
            <w:rPr>
              <w:color w:val="auto"/>
              <w:highlight w:val="none"/>
            </w:rPr>
            <w:fldChar w:fldCharType="begin"/>
          </w:r>
          <w:r>
            <w:rPr>
              <w:color w:val="auto"/>
              <w:highlight w:val="none"/>
            </w:rPr>
            <w:instrText xml:space="preserve"> PAGEREF _Toc1326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"_Toc17871" </w:instrText>
          </w:r>
          <w:r>
            <w:rPr>
              <w:color w:val="auto"/>
              <w:highlight w:val="none"/>
            </w:rPr>
            <w:fldChar w:fldCharType="separate"/>
          </w:r>
          <w:r>
            <w:rPr>
              <w:rFonts w:hint="eastAsia" w:asciiTheme="minorEastAsia" w:hAnsiTheme="minorEastAsia" w:cstheme="minorEastAsia"/>
              <w:bCs/>
              <w:color w:val="auto"/>
              <w:szCs w:val="23"/>
              <w:highlight w:val="none"/>
            </w:rPr>
            <w:t xml:space="preserve">12响应有效期</w:t>
          </w:r>
          <w:r>
            <w:rPr>
              <w:color w:val="auto"/>
              <w:highlight w:val="none"/>
            </w:rPr>
            <w:tab/>
          </w:r>
          <w:r>
            <w:rPr>
              <w:color w:val="auto"/>
              <w:highlight w:val="none"/>
            </w:rPr>
            <w:fldChar w:fldCharType="begin"/>
          </w:r>
          <w:r>
            <w:rPr>
              <w:color w:val="auto"/>
              <w:highlight w:val="none"/>
            </w:rPr>
            <w:instrText xml:space="preserve"> PAGEREF _Toc17871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"_Toc1553" </w:instrText>
          </w:r>
          <w:r>
            <w:rPr>
              <w:color w:val="auto"/>
              <w:highlight w:val="none"/>
            </w:rPr>
            <w:fldChar w:fldCharType="separate"/>
          </w:r>
          <w:r>
            <w:rPr>
              <w:rFonts w:hint="eastAsia" w:asciiTheme="minorEastAsia" w:hAnsiTheme="minorEastAsia" w:cstheme="minorEastAsia"/>
              <w:bCs/>
              <w:color w:val="auto"/>
              <w:szCs w:val="23"/>
              <w:highlight w:val="none"/>
            </w:rPr>
            <w:t xml:space="preserve">13响应文件的签署、盖章</w:t>
          </w:r>
          <w:r>
            <w:rPr>
              <w:color w:val="auto"/>
              <w:highlight w:val="none"/>
            </w:rPr>
            <w:tab/>
          </w:r>
          <w:r>
            <w:rPr>
              <w:color w:val="auto"/>
              <w:highlight w:val="none"/>
            </w:rPr>
            <w:fldChar w:fldCharType="begin"/>
          </w:r>
          <w:r>
            <w:rPr>
              <w:color w:val="auto"/>
              <w:highlight w:val="none"/>
            </w:rPr>
            <w:instrText xml:space="preserve"> PAGEREF _Toc1553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"_Toc18190" </w:instrText>
          </w:r>
          <w:r>
            <w:rPr>
              <w:color w:val="auto"/>
              <w:highlight w:val="none"/>
            </w:rPr>
            <w:fldChar w:fldCharType="separate"/>
          </w:r>
          <w:r>
            <w:rPr>
              <w:rFonts w:hint="eastAsia" w:ascii="黑体" w:hAnsi="黑体" w:eastAsia="黑体" w:cs="黑体"/>
              <w:color w:val="auto"/>
              <w:szCs w:val="28"/>
              <w:highlight w:val="none"/>
            </w:rPr>
            <w:t xml:space="preserve">四  响应文件的提交</w:t>
          </w:r>
          <w:r>
            <w:rPr>
              <w:color w:val="auto"/>
              <w:highlight w:val="none"/>
            </w:rPr>
            <w:tab/>
          </w:r>
          <w:r>
            <w:rPr>
              <w:color w:val="auto"/>
              <w:highlight w:val="none"/>
            </w:rPr>
            <w:fldChar w:fldCharType="begin"/>
          </w:r>
          <w:r>
            <w:rPr>
              <w:color w:val="auto"/>
              <w:highlight w:val="none"/>
            </w:rPr>
            <w:instrText xml:space="preserve"> PAGEREF _Toc18190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"_Toc9789" </w:instrText>
          </w:r>
          <w:r>
            <w:rPr>
              <w:color w:val="auto"/>
              <w:highlight w:val="none"/>
            </w:rPr>
            <w:fldChar w:fldCharType="separate"/>
          </w:r>
          <w:r>
            <w:rPr>
              <w:rFonts w:hint="eastAsia" w:asciiTheme="minorEastAsia" w:hAnsiTheme="minorEastAsia" w:cstheme="minorEastAsia"/>
              <w:bCs/>
              <w:color w:val="auto"/>
              <w:szCs w:val="23"/>
              <w:highlight w:val="none"/>
            </w:rPr>
            <w:t xml:space="preserve">14响应文件的提交</w:t>
          </w:r>
          <w:r>
            <w:rPr>
              <w:color w:val="auto"/>
              <w:highlight w:val="none"/>
            </w:rPr>
            <w:tab/>
          </w:r>
          <w:r>
            <w:rPr>
              <w:color w:val="auto"/>
              <w:highlight w:val="none"/>
            </w:rPr>
            <w:fldChar w:fldCharType="begin"/>
          </w:r>
          <w:r>
            <w:rPr>
              <w:color w:val="auto"/>
              <w:highlight w:val="none"/>
            </w:rPr>
            <w:instrText xml:space="preserve"> PAGEREF _Toc9789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"_Toc27627" </w:instrText>
          </w:r>
          <w:r>
            <w:rPr>
              <w:color w:val="auto"/>
              <w:highlight w:val="none"/>
            </w:rPr>
            <w:fldChar w:fldCharType="separate"/>
          </w:r>
          <w:r>
            <w:rPr>
              <w:rFonts w:hint="eastAsia" w:asciiTheme="minorEastAsia" w:hAnsiTheme="minorEastAsia" w:cstheme="minorEastAsia"/>
              <w:bCs/>
              <w:color w:val="auto"/>
              <w:szCs w:val="23"/>
              <w:highlight w:val="none"/>
            </w:rPr>
            <w:t xml:space="preserve">15响应文件提交截止时间</w:t>
          </w:r>
          <w:r>
            <w:rPr>
              <w:color w:val="auto"/>
              <w:highlight w:val="none"/>
            </w:rPr>
            <w:tab/>
          </w:r>
          <w:r>
            <w:rPr>
              <w:color w:val="auto"/>
              <w:highlight w:val="none"/>
            </w:rPr>
            <w:fldChar w:fldCharType="begin"/>
          </w:r>
          <w:r>
            <w:rPr>
              <w:color w:val="auto"/>
              <w:highlight w:val="none"/>
            </w:rPr>
            <w:instrText xml:space="preserve"> PAGEREF _Toc27627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"_Toc21533" </w:instrText>
          </w:r>
          <w:r>
            <w:rPr>
              <w:color w:val="auto"/>
              <w:highlight w:val="none"/>
            </w:rPr>
            <w:fldChar w:fldCharType="separate"/>
          </w:r>
          <w:r>
            <w:rPr>
              <w:rFonts w:hint="eastAsia" w:asciiTheme="minorEastAsia" w:hAnsiTheme="minorEastAsia" w:cstheme="minorEastAsia"/>
              <w:bCs/>
              <w:color w:val="auto"/>
              <w:szCs w:val="23"/>
              <w:highlight w:val="none"/>
            </w:rPr>
            <w:t xml:space="preserve">16响应文件的修改与撤回</w:t>
          </w:r>
          <w:r>
            <w:rPr>
              <w:color w:val="auto"/>
              <w:highlight w:val="none"/>
            </w:rPr>
            <w:tab/>
          </w:r>
          <w:r>
            <w:rPr>
              <w:color w:val="auto"/>
              <w:highlight w:val="none"/>
            </w:rPr>
            <w:fldChar w:fldCharType="begin"/>
          </w:r>
          <w:r>
            <w:rPr>
              <w:color w:val="auto"/>
              <w:highlight w:val="none"/>
            </w:rPr>
            <w:instrText xml:space="preserve"> PAGEREF _Toc21533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"_Toc1796" </w:instrText>
          </w:r>
          <w:r>
            <w:rPr>
              <w:color w:val="auto"/>
              <w:highlight w:val="none"/>
            </w:rPr>
            <w:fldChar w:fldCharType="separate"/>
          </w:r>
          <w:r>
            <w:rPr>
              <w:rFonts w:hint="eastAsia" w:asciiTheme="minorEastAsia" w:hAnsiTheme="minorEastAsia" w:cstheme="minorEastAsia"/>
              <w:bCs/>
              <w:color w:val="auto"/>
              <w:szCs w:val="23"/>
              <w:highlight w:val="none"/>
            </w:rPr>
            <w:t xml:space="preserve">17响应文件的解密与开启</w:t>
          </w:r>
          <w:r>
            <w:rPr>
              <w:color w:val="auto"/>
              <w:highlight w:val="none"/>
            </w:rPr>
            <w:tab/>
          </w:r>
          <w:r>
            <w:rPr>
              <w:color w:val="auto"/>
              <w:highlight w:val="none"/>
            </w:rPr>
            <w:fldChar w:fldCharType="begin"/>
          </w:r>
          <w:r>
            <w:rPr>
              <w:color w:val="auto"/>
              <w:highlight w:val="none"/>
            </w:rPr>
            <w:instrText xml:space="preserve"> PAGEREF _Toc1796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"_Toc9803" </w:instrText>
          </w:r>
          <w:r>
            <w:rPr>
              <w:color w:val="auto"/>
              <w:highlight w:val="none"/>
            </w:rPr>
            <w:fldChar w:fldCharType="separate"/>
          </w:r>
          <w:r>
            <w:rPr>
              <w:rFonts w:hint="eastAsia" w:asciiTheme="minorEastAsia" w:hAnsiTheme="minorEastAsia" w:cstheme="minorEastAsia"/>
              <w:bCs/>
              <w:color w:val="auto"/>
              <w:szCs w:val="23"/>
              <w:highlight w:val="none"/>
            </w:rPr>
            <w:t xml:space="preserve">18磋商小组</w:t>
          </w:r>
          <w:r>
            <w:rPr>
              <w:color w:val="auto"/>
              <w:highlight w:val="none"/>
            </w:rPr>
            <w:tab/>
          </w:r>
          <w:r>
            <w:rPr>
              <w:color w:val="auto"/>
              <w:highlight w:val="none"/>
            </w:rPr>
            <w:fldChar w:fldCharType="begin"/>
          </w:r>
          <w:r>
            <w:rPr>
              <w:color w:val="auto"/>
              <w:highlight w:val="none"/>
            </w:rPr>
            <w:instrText xml:space="preserve"> PAGEREF _Toc9803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"_Toc28977" </w:instrText>
          </w:r>
          <w:r>
            <w:rPr>
              <w:color w:val="auto"/>
              <w:highlight w:val="none"/>
            </w:rPr>
            <w:fldChar w:fldCharType="separate"/>
          </w:r>
          <w:r>
            <w:rPr>
              <w:rFonts w:hint="eastAsia" w:asciiTheme="minorEastAsia" w:hAnsiTheme="minorEastAsia" w:cstheme="minorEastAsia"/>
              <w:bCs/>
              <w:color w:val="auto"/>
              <w:szCs w:val="23"/>
              <w:highlight w:val="none"/>
            </w:rPr>
            <w:t xml:space="preserve">19评审方法和评审标准</w:t>
          </w:r>
          <w:r>
            <w:rPr>
              <w:color w:val="auto"/>
              <w:highlight w:val="none"/>
            </w:rPr>
            <w:tab/>
          </w:r>
          <w:r>
            <w:rPr>
              <w:color w:val="auto"/>
              <w:highlight w:val="none"/>
            </w:rPr>
            <w:fldChar w:fldCharType="begin"/>
          </w:r>
          <w:r>
            <w:rPr>
              <w:color w:val="auto"/>
              <w:highlight w:val="none"/>
            </w:rPr>
            <w:instrText xml:space="preserve"> PAGEREF _Toc28977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"_Toc25664" </w:instrText>
          </w:r>
          <w:r>
            <w:rPr>
              <w:color w:val="auto"/>
              <w:highlight w:val="none"/>
            </w:rPr>
            <w:fldChar w:fldCharType="separate"/>
          </w:r>
          <w:r>
            <w:rPr>
              <w:rFonts w:hint="eastAsia" w:asciiTheme="minorEastAsia" w:hAnsiTheme="minorEastAsia" w:cstheme="minorEastAsia"/>
              <w:bCs/>
              <w:color w:val="auto"/>
              <w:szCs w:val="23"/>
              <w:highlight w:val="none"/>
            </w:rPr>
            <w:t xml:space="preserve">20确定成交供应商</w:t>
          </w:r>
          <w:r>
            <w:rPr>
              <w:color w:val="auto"/>
              <w:highlight w:val="none"/>
            </w:rPr>
            <w:tab/>
          </w:r>
          <w:r>
            <w:rPr>
              <w:color w:val="auto"/>
              <w:highlight w:val="none"/>
            </w:rPr>
            <w:fldChar w:fldCharType="begin"/>
          </w:r>
          <w:r>
            <w:rPr>
              <w:color w:val="auto"/>
              <w:highlight w:val="none"/>
            </w:rPr>
            <w:instrText xml:space="preserve"> PAGEREF _Toc25664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"_Toc26114" </w:instrText>
          </w:r>
          <w:r>
            <w:rPr>
              <w:color w:val="auto"/>
              <w:highlight w:val="none"/>
            </w:rPr>
            <w:fldChar w:fldCharType="separate"/>
          </w:r>
          <w:r>
            <w:rPr>
              <w:rFonts w:hint="eastAsia" w:asciiTheme="minorEastAsia" w:hAnsiTheme="minorEastAsia" w:cstheme="minorEastAsia"/>
              <w:bCs/>
              <w:color w:val="auto"/>
              <w:szCs w:val="23"/>
              <w:highlight w:val="none"/>
            </w:rPr>
            <w:t xml:space="preserve">21成交公告与成交通知书</w:t>
          </w:r>
          <w:r>
            <w:rPr>
              <w:color w:val="auto"/>
              <w:highlight w:val="none"/>
            </w:rPr>
            <w:tab/>
          </w:r>
          <w:r>
            <w:rPr>
              <w:color w:val="auto"/>
              <w:highlight w:val="none"/>
            </w:rPr>
            <w:fldChar w:fldCharType="begin"/>
          </w:r>
          <w:r>
            <w:rPr>
              <w:color w:val="auto"/>
              <w:highlight w:val="none"/>
            </w:rPr>
            <w:instrText xml:space="preserve"> PAGEREF _Toc26114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"_Toc3417" </w:instrText>
          </w:r>
          <w:r>
            <w:rPr>
              <w:color w:val="auto"/>
              <w:highlight w:val="none"/>
            </w:rPr>
            <w:fldChar w:fldCharType="separate"/>
          </w:r>
          <w:r>
            <w:rPr>
              <w:rFonts w:hint="eastAsia" w:asciiTheme="minorEastAsia" w:hAnsiTheme="minorEastAsia" w:cstheme="minorEastAsia"/>
              <w:bCs/>
              <w:color w:val="auto"/>
              <w:szCs w:val="23"/>
              <w:highlight w:val="none"/>
            </w:rPr>
            <w:t xml:space="preserve">22终止</w:t>
          </w:r>
          <w:r>
            <w:rPr>
              <w:color w:val="auto"/>
              <w:highlight w:val="none"/>
            </w:rPr>
            <w:tab/>
          </w:r>
          <w:r>
            <w:rPr>
              <w:color w:val="auto"/>
              <w:highlight w:val="none"/>
            </w:rPr>
            <w:fldChar w:fldCharType="begin"/>
          </w:r>
          <w:r>
            <w:rPr>
              <w:color w:val="auto"/>
              <w:highlight w:val="none"/>
            </w:rPr>
            <w:instrText xml:space="preserve"> PAGEREF _Toc3417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"_Toc6442" </w:instrText>
          </w:r>
          <w:r>
            <w:rPr>
              <w:color w:val="auto"/>
              <w:highlight w:val="none"/>
            </w:rPr>
            <w:fldChar w:fldCharType="separate"/>
          </w:r>
          <w:r>
            <w:rPr>
              <w:rFonts w:hint="eastAsia" w:asciiTheme="minorEastAsia" w:hAnsiTheme="minorEastAsia" w:cstheme="minorEastAsia"/>
              <w:bCs/>
              <w:color w:val="auto"/>
              <w:szCs w:val="23"/>
              <w:highlight w:val="none"/>
            </w:rPr>
            <w:t xml:space="preserve">23签订合同</w:t>
          </w:r>
          <w:r>
            <w:rPr>
              <w:color w:val="auto"/>
              <w:highlight w:val="none"/>
            </w:rPr>
            <w:tab/>
          </w:r>
          <w:r>
            <w:rPr>
              <w:color w:val="auto"/>
              <w:highlight w:val="none"/>
            </w:rPr>
            <w:fldChar w:fldCharType="begin"/>
          </w:r>
          <w:r>
            <w:rPr>
              <w:color w:val="auto"/>
              <w:highlight w:val="none"/>
            </w:rPr>
            <w:instrText xml:space="preserve"> PAGEREF _Toc6442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"_Toc6441" </w:instrText>
          </w:r>
          <w:r>
            <w:rPr>
              <w:color w:val="auto"/>
              <w:highlight w:val="none"/>
            </w:rPr>
            <w:fldChar w:fldCharType="separate"/>
          </w:r>
          <w:r>
            <w:rPr>
              <w:rFonts w:hint="eastAsia" w:asciiTheme="minorEastAsia" w:hAnsiTheme="minorEastAsia" w:cstheme="minorEastAsia"/>
              <w:bCs/>
              <w:color w:val="auto"/>
              <w:szCs w:val="23"/>
              <w:highlight w:val="none"/>
            </w:rPr>
            <w:t xml:space="preserve">24询问与质疑</w:t>
          </w:r>
          <w:r>
            <w:rPr>
              <w:color w:val="auto"/>
              <w:highlight w:val="none"/>
            </w:rPr>
            <w:tab/>
          </w:r>
          <w:r>
            <w:rPr>
              <w:color w:val="auto"/>
              <w:highlight w:val="none"/>
            </w:rPr>
            <w:fldChar w:fldCharType="begin"/>
          </w:r>
          <w:r>
            <w:rPr>
              <w:color w:val="auto"/>
              <w:highlight w:val="none"/>
            </w:rPr>
            <w:instrText xml:space="preserve"> PAGEREF _Toc6441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"_Toc29709" </w:instrText>
          </w:r>
          <w:r>
            <w:rPr>
              <w:color w:val="auto"/>
              <w:highlight w:val="none"/>
            </w:rPr>
            <w:fldChar w:fldCharType="separate"/>
          </w:r>
          <w:r>
            <w:rPr>
              <w:rFonts w:hint="eastAsia" w:asciiTheme="minorEastAsia" w:hAnsiTheme="minorEastAsia" w:cstheme="minorEastAsia"/>
              <w:bCs/>
              <w:color w:val="auto"/>
              <w:szCs w:val="23"/>
              <w:highlight w:val="none"/>
            </w:rPr>
            <w:t xml:space="preserve">25代理费</w:t>
          </w:r>
          <w:r>
            <w:rPr>
              <w:color w:val="auto"/>
              <w:highlight w:val="none"/>
            </w:rPr>
            <w:tab/>
          </w:r>
          <w:r>
            <w:rPr>
              <w:color w:val="auto"/>
              <w:highlight w:val="none"/>
            </w:rPr>
            <w:fldChar w:fldCharType="begin"/>
          </w:r>
          <w:r>
            <w:rPr>
              <w:color w:val="auto"/>
              <w:highlight w:val="none"/>
            </w:rPr>
            <w:instrText xml:space="preserve"> PAGEREF _Toc29709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722"/>
            <w:tabs>
              <w:tab w:val="right" w:pos="8400" w:leader="dot"/>
            </w:tabs>
            <w:rPr>
              <w:color w:val="auto"/>
              <w:highlight w:val="none"/>
            </w:rPr>
          </w:pPr>
          <w:r>
            <w:rPr>
              <w:color w:val="auto"/>
              <w:highlight w:val="none"/>
            </w:rPr>
            <w:fldChar w:fldCharType="begin"/>
          </w:r>
          <w:r>
            <w:rPr>
              <w:color w:val="auto"/>
              <w:highlight w:val="none"/>
            </w:rPr>
            <w:instrText xml:space="preserve"> HYPERLINK \l "_Toc17197" </w:instrText>
          </w:r>
          <w:r>
            <w:rPr>
              <w:color w:val="auto"/>
              <w:highlight w:val="none"/>
            </w:rPr>
            <w:fldChar w:fldCharType="separate"/>
          </w:r>
          <w:r>
            <w:rPr>
              <w:rFonts w:hint="eastAsia" w:ascii="黑体" w:hAnsi="黑体" w:eastAsia="黑体" w:cs="黑体"/>
              <w:color w:val="auto"/>
              <w:szCs w:val="22"/>
              <w:highlight w:val="none"/>
            </w:rPr>
            <w:t xml:space="preserve">第三章  评审方法和评审标准</w:t>
          </w:r>
          <w:r>
            <w:rPr>
              <w:color w:val="auto"/>
              <w:highlight w:val="none"/>
            </w:rPr>
            <w:tab/>
          </w:r>
          <w:r>
            <w:rPr>
              <w:color w:val="auto"/>
              <w:highlight w:val="none"/>
            </w:rPr>
            <w:fldChar w:fldCharType="begin"/>
          </w:r>
          <w:r>
            <w:rPr>
              <w:color w:val="auto"/>
              <w:highlight w:val="none"/>
            </w:rPr>
            <w:instrText xml:space="preserve"> PAGEREF _Toc17197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"_Toc9496" </w:instrText>
          </w:r>
          <w:r>
            <w:rPr>
              <w:color w:val="auto"/>
              <w:highlight w:val="none"/>
            </w:rPr>
            <w:fldChar w:fldCharType="separate"/>
          </w:r>
          <w:r>
            <w:rPr>
              <w:rFonts w:hint="eastAsia" w:ascii="黑体" w:hAnsi="黑体" w:eastAsia="黑体" w:cs="黑体"/>
              <w:color w:val="auto"/>
              <w:szCs w:val="28"/>
              <w:highlight w:val="none"/>
            </w:rPr>
            <w:t xml:space="preserve">一、资格及符合性审查程序</w:t>
          </w:r>
          <w:r>
            <w:rPr>
              <w:color w:val="auto"/>
              <w:highlight w:val="none"/>
            </w:rPr>
            <w:tab/>
          </w:r>
          <w:r>
            <w:rPr>
              <w:color w:val="auto"/>
              <w:highlight w:val="none"/>
            </w:rPr>
            <w:fldChar w:fldCharType="begin"/>
          </w:r>
          <w:r>
            <w:rPr>
              <w:color w:val="auto"/>
              <w:highlight w:val="none"/>
            </w:rPr>
            <w:instrText xml:space="preserve"> PAGEREF _Toc9496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"_Toc1379" </w:instrText>
          </w:r>
          <w:r>
            <w:rPr>
              <w:color w:val="auto"/>
              <w:highlight w:val="none"/>
            </w:rPr>
            <w:fldChar w:fldCharType="separate"/>
          </w:r>
          <w:r>
            <w:rPr>
              <w:rFonts w:hint="eastAsia" w:ascii="黑体" w:hAnsi="黑体" w:eastAsia="黑体" w:cs="黑体"/>
              <w:color w:val="auto"/>
              <w:szCs w:val="28"/>
              <w:highlight w:val="none"/>
            </w:rPr>
            <w:t xml:space="preserve">二、磋商</w:t>
          </w:r>
          <w:r>
            <w:rPr>
              <w:color w:val="auto"/>
              <w:highlight w:val="none"/>
            </w:rPr>
            <w:tab/>
          </w:r>
          <w:r>
            <w:rPr>
              <w:color w:val="auto"/>
              <w:highlight w:val="none"/>
            </w:rPr>
            <w:fldChar w:fldCharType="begin"/>
          </w:r>
          <w:r>
            <w:rPr>
              <w:color w:val="auto"/>
              <w:highlight w:val="none"/>
            </w:rPr>
            <w:instrText xml:space="preserve"> PAGEREF _Toc1379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"_Toc13967" </w:instrText>
          </w:r>
          <w:r>
            <w:rPr>
              <w:color w:val="auto"/>
              <w:highlight w:val="none"/>
            </w:rPr>
            <w:fldChar w:fldCharType="separate"/>
          </w:r>
          <w:r>
            <w:rPr>
              <w:rFonts w:hint="eastAsia" w:ascii="黑体" w:hAnsi="黑体" w:eastAsia="黑体" w:cs="黑体"/>
              <w:color w:val="auto"/>
              <w:szCs w:val="28"/>
              <w:highlight w:val="none"/>
            </w:rPr>
            <w:t xml:space="preserve">三、评审标准</w:t>
          </w:r>
          <w:r>
            <w:rPr>
              <w:color w:val="auto"/>
              <w:highlight w:val="none"/>
            </w:rPr>
            <w:tab/>
          </w:r>
          <w:r>
            <w:rPr>
              <w:color w:val="auto"/>
              <w:highlight w:val="none"/>
            </w:rPr>
            <w:fldChar w:fldCharType="begin"/>
          </w:r>
          <w:r>
            <w:rPr>
              <w:color w:val="auto"/>
              <w:highlight w:val="none"/>
            </w:rPr>
            <w:instrText xml:space="preserve"> PAGEREF _Toc13967 \h </w:instrText>
          </w:r>
          <w:r>
            <w:rPr>
              <w:color w:val="auto"/>
              <w:highlight w:val="none"/>
            </w:rPr>
            <w:fldChar w:fldCharType="separate"/>
          </w:r>
          <w:r>
            <w:rPr>
              <w:color w:val="auto"/>
              <w:highlight w:val="none"/>
            </w:rPr>
            <w:t xml:space="preserve">28</w:t>
          </w:r>
          <w:r>
            <w:rPr>
              <w:color w:val="auto"/>
              <w:highlight w:val="none"/>
            </w:rPr>
            <w:fldChar w:fldCharType="end"/>
          </w:r>
          <w:r>
            <w:rPr>
              <w:color w:val="auto"/>
              <w:highlight w:val="none"/>
            </w:rPr>
            <w:fldChar w:fldCharType="end"/>
          </w:r>
          <w:r/>
        </w:p>
        <w:p>
          <w:pPr>
            <w:pStyle w:val="722"/>
            <w:tabs>
              <w:tab w:val="right" w:pos="8400" w:leader="dot"/>
            </w:tabs>
            <w:rPr>
              <w:color w:val="auto"/>
              <w:highlight w:val="none"/>
            </w:rPr>
          </w:pPr>
          <w:r>
            <w:rPr>
              <w:color w:val="auto"/>
              <w:highlight w:val="none"/>
            </w:rPr>
            <w:fldChar w:fldCharType="begin"/>
          </w:r>
          <w:r>
            <w:rPr>
              <w:color w:val="auto"/>
              <w:highlight w:val="none"/>
            </w:rPr>
            <w:instrText xml:space="preserve"> HYPERLINK \l "_Toc16466" </w:instrText>
          </w:r>
          <w:r>
            <w:rPr>
              <w:color w:val="auto"/>
              <w:highlight w:val="none"/>
            </w:rPr>
            <w:fldChar w:fldCharType="separate"/>
          </w:r>
          <w:r>
            <w:rPr>
              <w:rFonts w:hint="eastAsia" w:ascii="黑体" w:hAnsi="黑体" w:eastAsia="黑体" w:cs="黑体"/>
              <w:color w:val="auto"/>
              <w:szCs w:val="22"/>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_Toc16466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pStyle w:val="722"/>
            <w:tabs>
              <w:tab w:val="right" w:pos="8400" w:leader="dot"/>
            </w:tabs>
            <w:rPr>
              <w:color w:val="auto"/>
              <w:highlight w:val="none"/>
            </w:rPr>
          </w:pPr>
          <w:r>
            <w:rPr>
              <w:color w:val="auto"/>
              <w:highlight w:val="none"/>
            </w:rPr>
            <w:fldChar w:fldCharType="begin"/>
          </w:r>
          <w:r>
            <w:rPr>
              <w:color w:val="auto"/>
              <w:highlight w:val="none"/>
            </w:rPr>
            <w:instrText xml:space="preserve"> HYPERLINK \l "_Toc20710" </w:instrText>
          </w:r>
          <w:r>
            <w:rPr>
              <w:color w:val="auto"/>
              <w:highlight w:val="none"/>
            </w:rPr>
            <w:fldChar w:fldCharType="separate"/>
          </w:r>
          <w:r>
            <w:rPr>
              <w:rFonts w:hint="eastAsia" w:ascii="黑体" w:hAnsi="黑体" w:eastAsia="黑体" w:cs="黑体"/>
              <w:color w:val="auto"/>
              <w:szCs w:val="22"/>
              <w:highlight w:val="none"/>
            </w:rPr>
            <w:t xml:space="preserve">第五章 合同草案条款</w:t>
          </w:r>
          <w:r>
            <w:rPr>
              <w:color w:val="auto"/>
              <w:highlight w:val="none"/>
            </w:rPr>
            <w:tab/>
          </w:r>
          <w:r>
            <w:rPr>
              <w:color w:val="auto"/>
              <w:highlight w:val="none"/>
            </w:rPr>
            <w:fldChar w:fldCharType="begin"/>
          </w:r>
          <w:r>
            <w:rPr>
              <w:color w:val="auto"/>
              <w:highlight w:val="none"/>
            </w:rPr>
            <w:instrText xml:space="preserve"> PAGEREF _Toc20710 \h </w:instrText>
          </w:r>
          <w:r>
            <w:rPr>
              <w:color w:val="auto"/>
              <w:highlight w:val="none"/>
            </w:rPr>
            <w:fldChar w:fldCharType="separate"/>
          </w:r>
          <w:r>
            <w:rPr>
              <w:color w:val="auto"/>
              <w:highlight w:val="none"/>
            </w:rPr>
            <w:t xml:space="preserve">34</w:t>
          </w:r>
          <w:r>
            <w:rPr>
              <w:color w:val="auto"/>
              <w:highlight w:val="none"/>
            </w:rPr>
            <w:fldChar w:fldCharType="end"/>
          </w:r>
          <w:r>
            <w:rPr>
              <w:color w:val="auto"/>
              <w:highlight w:val="none"/>
            </w:rPr>
            <w:fldChar w:fldCharType="end"/>
          </w:r>
          <w:r/>
        </w:p>
        <w:p>
          <w:pPr>
            <w:pStyle w:val="722"/>
            <w:tabs>
              <w:tab w:val="right" w:pos="8400" w:leader="dot"/>
            </w:tabs>
            <w:rPr>
              <w:color w:val="auto"/>
              <w:highlight w:val="none"/>
            </w:rPr>
          </w:pPr>
          <w:r>
            <w:rPr>
              <w:color w:val="auto"/>
              <w:highlight w:val="none"/>
            </w:rPr>
            <w:fldChar w:fldCharType="begin"/>
          </w:r>
          <w:r>
            <w:rPr>
              <w:color w:val="auto"/>
              <w:highlight w:val="none"/>
            </w:rPr>
            <w:instrText xml:space="preserve"> HYPERLINK \l "_Toc17533" </w:instrText>
          </w:r>
          <w:r>
            <w:rPr>
              <w:color w:val="auto"/>
              <w:highlight w:val="none"/>
            </w:rPr>
            <w:fldChar w:fldCharType="separate"/>
          </w:r>
          <w:r>
            <w:rPr>
              <w:rFonts w:hint="eastAsia" w:ascii="黑体" w:hAnsi="黑体" w:eastAsia="黑体" w:cs="黑体"/>
              <w:color w:val="auto"/>
              <w:szCs w:val="22"/>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_Toc17533 \h </w:instrText>
          </w:r>
          <w:r>
            <w:rPr>
              <w:color w:val="auto"/>
              <w:highlight w:val="none"/>
            </w:rPr>
            <w:fldChar w:fldCharType="separate"/>
          </w:r>
          <w:r>
            <w:rPr>
              <w:color w:val="auto"/>
              <w:highlight w:val="none"/>
            </w:rPr>
            <w:t xml:space="preserve">38</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"_Toc11505" </w:instrText>
          </w:r>
          <w:r>
            <w:rPr>
              <w:color w:val="auto"/>
              <w:highlight w:val="none"/>
            </w:rPr>
            <w:fldChar w:fldCharType="separate"/>
          </w:r>
          <w:r>
            <w:rPr>
              <w:rFonts w:hint="eastAsia" w:ascii="楷体" w:hAnsi="楷体" w:eastAsia="楷体" w:cs="楷体"/>
              <w:bCs/>
              <w:color w:val="auto"/>
              <w:szCs w:val="26"/>
              <w:highlight w:val="none"/>
            </w:rPr>
            <w:t xml:space="preserve">1 满足《中华人民共和国政府采购法》第二十二条规定</w:t>
          </w:r>
          <w:r>
            <w:rPr>
              <w:rFonts w:hint="eastAsia" w:ascii="楷体" w:hAnsi="楷体" w:eastAsia="楷体" w:cs="楷体"/>
              <w:color w:val="auto"/>
              <w:highlight w:val="none"/>
            </w:rPr>
            <w:t xml:space="preserve">（实质性格式）</w:t>
          </w:r>
          <w:r>
            <w:rPr>
              <w:color w:val="auto"/>
              <w:highlight w:val="none"/>
            </w:rPr>
            <w:tab/>
          </w:r>
          <w:r>
            <w:rPr>
              <w:color w:val="auto"/>
              <w:highlight w:val="none"/>
            </w:rPr>
            <w:fldChar w:fldCharType="begin"/>
          </w:r>
          <w:r>
            <w:rPr>
              <w:color w:val="auto"/>
              <w:highlight w:val="none"/>
            </w:rPr>
            <w:instrText xml:space="preserve"> PAGEREF _Toc11505 \h </w:instrText>
          </w:r>
          <w:r>
            <w:rPr>
              <w:color w:val="auto"/>
              <w:highlight w:val="none"/>
            </w:rPr>
            <w:fldChar w:fldCharType="separate"/>
          </w:r>
          <w:r>
            <w:rPr>
              <w:color w:val="auto"/>
              <w:highlight w:val="none"/>
            </w:rPr>
            <w:t xml:space="preserve">40</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"_Toc20576" </w:instrText>
          </w:r>
          <w:r>
            <w:rPr>
              <w:color w:val="auto"/>
              <w:highlight w:val="none"/>
            </w:rPr>
            <w:fldChar w:fldCharType="separate"/>
          </w:r>
          <w:r>
            <w:rPr>
              <w:rFonts w:hint="eastAsia" w:ascii="楷体" w:hAnsi="楷体" w:eastAsia="楷体" w:cs="楷体"/>
              <w:bCs/>
              <w:color w:val="auto"/>
              <w:szCs w:val="26"/>
              <w:highlight w:val="none"/>
            </w:rPr>
            <w:t xml:space="preserve">2 落实政府采购政策需满足的资格要求（如有）</w:t>
          </w:r>
          <w:r>
            <w:rPr>
              <w:color w:val="auto"/>
              <w:highlight w:val="none"/>
            </w:rPr>
            <w:tab/>
          </w:r>
          <w:r>
            <w:rPr>
              <w:color w:val="auto"/>
              <w:highlight w:val="none"/>
            </w:rPr>
            <w:fldChar w:fldCharType="begin"/>
          </w:r>
          <w:r>
            <w:rPr>
              <w:color w:val="auto"/>
              <w:highlight w:val="none"/>
            </w:rPr>
            <w:instrText xml:space="preserve"> PAGEREF _Toc20576 \h </w:instrText>
          </w:r>
          <w:r>
            <w:rPr>
              <w:color w:val="auto"/>
              <w:highlight w:val="none"/>
            </w:rPr>
            <w:fldChar w:fldCharType="separate"/>
          </w:r>
          <w:r>
            <w:rPr>
              <w:color w:val="auto"/>
              <w:highlight w:val="none"/>
            </w:rPr>
            <w:t xml:space="preserve">42</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"_Toc7264" </w:instrText>
          </w:r>
          <w:r>
            <w:rPr>
              <w:color w:val="auto"/>
              <w:highlight w:val="none"/>
            </w:rPr>
            <w:fldChar w:fldCharType="separate"/>
          </w:r>
          <w:r>
            <w:rPr>
              <w:rFonts w:hint="eastAsia" w:ascii="楷体" w:hAnsi="楷体" w:eastAsia="楷体" w:cs="楷体"/>
              <w:bCs/>
              <w:color w:val="auto"/>
              <w:szCs w:val="26"/>
              <w:highlight w:val="none"/>
            </w:rPr>
            <w:t xml:space="preserve">3 本项目的特定资格要求（如有）</w:t>
          </w:r>
          <w:r>
            <w:rPr>
              <w:color w:val="auto"/>
              <w:highlight w:val="none"/>
            </w:rPr>
            <w:tab/>
          </w:r>
          <w:r>
            <w:rPr>
              <w:color w:val="auto"/>
              <w:highlight w:val="none"/>
            </w:rPr>
            <w:fldChar w:fldCharType="begin"/>
          </w:r>
          <w:r>
            <w:rPr>
              <w:color w:val="auto"/>
              <w:highlight w:val="none"/>
            </w:rPr>
            <w:instrText xml:space="preserve"> PAGEREF _Toc7264 \h </w:instrText>
          </w:r>
          <w:r>
            <w:rPr>
              <w:color w:val="auto"/>
              <w:highlight w:val="none"/>
            </w:rPr>
            <w:fldChar w:fldCharType="separate"/>
          </w:r>
          <w:r>
            <w:rPr>
              <w:color w:val="auto"/>
              <w:highlight w:val="none"/>
            </w:rPr>
            <w:t xml:space="preserve">47</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"_Toc28520" </w:instrText>
          </w:r>
          <w:r>
            <w:rPr>
              <w:color w:val="auto"/>
              <w:highlight w:val="none"/>
            </w:rPr>
            <w:fldChar w:fldCharType="separate"/>
          </w:r>
          <w:r>
            <w:rPr>
              <w:rFonts w:hint="eastAsia" w:ascii="楷体" w:hAnsi="楷体" w:eastAsia="楷体" w:cs="楷体"/>
              <w:color w:val="auto"/>
              <w:highlight w:val="none"/>
            </w:rPr>
            <w:t xml:space="preserve">4 响应书（实质性格式）</w:t>
          </w:r>
          <w:r>
            <w:rPr>
              <w:color w:val="auto"/>
              <w:highlight w:val="none"/>
            </w:rPr>
            <w:tab/>
          </w:r>
          <w:r>
            <w:rPr>
              <w:color w:val="auto"/>
              <w:highlight w:val="none"/>
            </w:rPr>
            <w:fldChar w:fldCharType="begin"/>
          </w:r>
          <w:r>
            <w:rPr>
              <w:color w:val="auto"/>
              <w:highlight w:val="none"/>
            </w:rPr>
            <w:instrText xml:space="preserve"> PAGEREF _Toc28520 \h </w:instrText>
          </w:r>
          <w:r>
            <w:rPr>
              <w:color w:val="auto"/>
              <w:highlight w:val="none"/>
            </w:rPr>
            <w:fldChar w:fldCharType="separate"/>
          </w:r>
          <w:r>
            <w:rPr>
              <w:color w:val="auto"/>
              <w:highlight w:val="none"/>
            </w:rPr>
            <w:t xml:space="preserve">48</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"_Toc875" </w:instrText>
          </w:r>
          <w:r>
            <w:rPr>
              <w:color w:val="auto"/>
              <w:highlight w:val="none"/>
            </w:rPr>
            <w:fldChar w:fldCharType="separate"/>
          </w:r>
          <w:r>
            <w:rPr>
              <w:rFonts w:hint="eastAsia" w:ascii="楷体" w:hAnsi="楷体" w:eastAsia="楷体" w:cs="楷体"/>
              <w:color w:val="auto"/>
              <w:highlight w:val="none"/>
            </w:rPr>
            <w:t xml:space="preserve">5 授权委托书（实质性格式）</w:t>
          </w:r>
          <w:r>
            <w:rPr>
              <w:color w:val="auto"/>
              <w:highlight w:val="none"/>
            </w:rPr>
            <w:tab/>
          </w:r>
          <w:r>
            <w:rPr>
              <w:color w:val="auto"/>
              <w:highlight w:val="none"/>
            </w:rPr>
            <w:fldChar w:fldCharType="begin"/>
          </w:r>
          <w:r>
            <w:rPr>
              <w:color w:val="auto"/>
              <w:highlight w:val="none"/>
            </w:rPr>
            <w:instrText xml:space="preserve"> PAGEREF _Toc875 \h </w:instrText>
          </w:r>
          <w:r>
            <w:rPr>
              <w:color w:val="auto"/>
              <w:highlight w:val="none"/>
            </w:rPr>
            <w:fldChar w:fldCharType="separate"/>
          </w:r>
          <w:r>
            <w:rPr>
              <w:color w:val="auto"/>
              <w:highlight w:val="none"/>
            </w:rPr>
            <w:t xml:space="preserve">49</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"_Toc18814" </w:instrText>
          </w:r>
          <w:r>
            <w:rPr>
              <w:color w:val="auto"/>
              <w:highlight w:val="none"/>
            </w:rPr>
            <w:fldChar w:fldCharType="separate"/>
          </w:r>
          <w:r>
            <w:rPr>
              <w:rFonts w:hint="eastAsia" w:ascii="楷体" w:hAnsi="楷体" w:eastAsia="楷体" w:cs="楷体"/>
              <w:color w:val="auto"/>
              <w:highlight w:val="none"/>
            </w:rPr>
            <w:t xml:space="preserve">6 磋商报价表（实质性格式）</w:t>
          </w:r>
          <w:r>
            <w:rPr>
              <w:color w:val="auto"/>
              <w:highlight w:val="none"/>
            </w:rPr>
            <w:tab/>
          </w:r>
          <w:r>
            <w:rPr>
              <w:color w:val="auto"/>
              <w:highlight w:val="none"/>
            </w:rPr>
            <w:fldChar w:fldCharType="begin"/>
          </w:r>
          <w:r>
            <w:rPr>
              <w:color w:val="auto"/>
              <w:highlight w:val="none"/>
            </w:rPr>
            <w:instrText xml:space="preserve"> PAGEREF _Toc18814 \h </w:instrText>
          </w:r>
          <w:r>
            <w:rPr>
              <w:color w:val="auto"/>
              <w:highlight w:val="none"/>
            </w:rPr>
            <w:fldChar w:fldCharType="separate"/>
          </w:r>
          <w:r>
            <w:rPr>
              <w:color w:val="auto"/>
              <w:highlight w:val="none"/>
            </w:rPr>
            <w:t xml:space="preserve">51</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"_Toc13472" </w:instrText>
          </w:r>
          <w:r>
            <w:rPr>
              <w:color w:val="auto"/>
              <w:highlight w:val="none"/>
            </w:rPr>
            <w:fldChar w:fldCharType="separate"/>
          </w:r>
          <w:r>
            <w:rPr>
              <w:rFonts w:hint="eastAsia" w:ascii="楷体" w:hAnsi="楷体" w:eastAsia="楷体" w:cs="楷体"/>
              <w:color w:val="auto"/>
              <w:highlight w:val="none"/>
            </w:rPr>
            <w:t xml:space="preserve">7 合同条款偏离表（实质性格式）</w:t>
          </w:r>
          <w:r>
            <w:rPr>
              <w:color w:val="auto"/>
              <w:highlight w:val="none"/>
            </w:rPr>
            <w:tab/>
          </w:r>
          <w:r>
            <w:rPr>
              <w:color w:val="auto"/>
              <w:highlight w:val="none"/>
            </w:rPr>
            <w:fldChar w:fldCharType="begin"/>
          </w:r>
          <w:r>
            <w:rPr>
              <w:color w:val="auto"/>
              <w:highlight w:val="none"/>
            </w:rPr>
            <w:instrText xml:space="preserve"> PAGEREF _Toc13472 \h </w:instrText>
          </w:r>
          <w:r>
            <w:rPr>
              <w:color w:val="auto"/>
              <w:highlight w:val="none"/>
            </w:rPr>
            <w:fldChar w:fldCharType="separate"/>
          </w:r>
          <w:r>
            <w:rPr>
              <w:color w:val="auto"/>
              <w:highlight w:val="none"/>
            </w:rPr>
            <w:t xml:space="preserve">52</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"_Toc12320" </w:instrText>
          </w:r>
          <w:r>
            <w:rPr>
              <w:color w:val="auto"/>
              <w:highlight w:val="none"/>
            </w:rPr>
            <w:fldChar w:fldCharType="separate"/>
          </w:r>
          <w:r>
            <w:rPr>
              <w:rFonts w:hint="eastAsia" w:ascii="楷体" w:hAnsi="楷体" w:eastAsia="楷体" w:cs="楷体"/>
              <w:color w:val="auto"/>
              <w:highlight w:val="none"/>
            </w:rPr>
            <w:t xml:space="preserve">8 采购需求偏离表（实质性格式）</w:t>
          </w:r>
          <w:r>
            <w:rPr>
              <w:color w:val="auto"/>
              <w:highlight w:val="none"/>
            </w:rPr>
            <w:tab/>
          </w:r>
          <w:r>
            <w:rPr>
              <w:color w:val="auto"/>
              <w:highlight w:val="none"/>
            </w:rPr>
            <w:fldChar w:fldCharType="begin"/>
          </w:r>
          <w:r>
            <w:rPr>
              <w:color w:val="auto"/>
              <w:highlight w:val="none"/>
            </w:rPr>
            <w:instrText xml:space="preserve"> PAGEREF _Toc12320 \h </w:instrText>
          </w:r>
          <w:r>
            <w:rPr>
              <w:color w:val="auto"/>
              <w:highlight w:val="none"/>
            </w:rPr>
            <w:fldChar w:fldCharType="separate"/>
          </w:r>
          <w:r>
            <w:rPr>
              <w:color w:val="auto"/>
              <w:highlight w:val="none"/>
            </w:rPr>
            <w:t xml:space="preserve">53</w:t>
          </w:r>
          <w:r>
            <w:rPr>
              <w:color w:val="auto"/>
              <w:highlight w:val="none"/>
            </w:rPr>
            <w:fldChar w:fldCharType="end"/>
          </w:r>
          <w:r>
            <w:rPr>
              <w:color w:val="auto"/>
              <w:highlight w:val="none"/>
            </w:rPr>
            <w:fldChar w:fldCharType="end"/>
          </w:r>
          <w:r/>
        </w:p>
        <w:p>
          <w:pPr>
            <w:pStyle w:val="728"/>
            <w:tabs>
              <w:tab w:val="right" w:pos="8400" w:leader="dot"/>
            </w:tabs>
            <w:rPr>
              <w:color w:val="auto"/>
              <w:highlight w:val="none"/>
            </w:rPr>
          </w:pPr>
          <w:r>
            <w:rPr>
              <w:color w:val="auto"/>
              <w:highlight w:val="none"/>
            </w:rPr>
            <w:fldChar w:fldCharType="begin"/>
          </w:r>
          <w:r>
            <w:rPr>
              <w:color w:val="auto"/>
              <w:highlight w:val="none"/>
            </w:rPr>
            <w:instrText xml:space="preserve"> HYPERLINK \l "_Toc26651" </w:instrText>
          </w:r>
          <w:r>
            <w:rPr>
              <w:color w:val="auto"/>
              <w:highlight w:val="none"/>
            </w:rPr>
            <w:fldChar w:fldCharType="separate"/>
          </w:r>
          <w:r>
            <w:rPr>
              <w:rFonts w:hint="eastAsia" w:ascii="楷体" w:hAnsi="楷体" w:eastAsia="楷体" w:cs="楷体"/>
              <w:color w:val="auto"/>
              <w:highlight w:val="none"/>
            </w:rPr>
            <w:t xml:space="preserve">9 竞争性磋商文件要求提供或供应商认为应附的其他材料</w:t>
          </w:r>
          <w:r>
            <w:rPr>
              <w:color w:val="auto"/>
              <w:highlight w:val="none"/>
            </w:rPr>
            <w:tab/>
          </w:r>
          <w:r>
            <w:rPr>
              <w:color w:val="auto"/>
              <w:highlight w:val="none"/>
            </w:rPr>
            <w:fldChar w:fldCharType="begin"/>
          </w:r>
          <w:r>
            <w:rPr>
              <w:color w:val="auto"/>
              <w:highlight w:val="none"/>
            </w:rPr>
            <w:instrText xml:space="preserve"> PAGEREF _Toc26651 \h </w:instrText>
          </w:r>
          <w:r>
            <w:rPr>
              <w:color w:val="auto"/>
              <w:highlight w:val="none"/>
            </w:rPr>
            <w:fldChar w:fldCharType="separate"/>
          </w:r>
          <w:r>
            <w:rPr>
              <w:color w:val="auto"/>
              <w:highlight w:val="none"/>
            </w:rPr>
            <w:t xml:space="preserve">54</w:t>
          </w:r>
          <w:r>
            <w:rPr>
              <w:color w:val="auto"/>
              <w:highlight w:val="none"/>
            </w:rPr>
            <w:fldChar w:fldCharType="end"/>
          </w:r>
          <w:r>
            <w:rPr>
              <w:color w:val="auto"/>
              <w:highlight w:val="none"/>
            </w:rPr>
            <w:fldChar w:fldCharType="end"/>
          </w:r>
          <w:r/>
        </w:p>
        <w:p>
          <w:pPr>
            <w:rPr>
              <w:color w:val="auto"/>
              <w:highlight w:val="none"/>
            </w:rPr>
          </w:pPr>
          <w:r>
            <w:rPr>
              <w:color w:val="auto"/>
              <w:highlight w:val="none"/>
            </w:rPr>
            <w:fldChar w:fldCharType="end"/>
          </w:r>
          <w:r/>
        </w:p>
      </w:sdtContent>
    </w:sdt>
    <w:p>
      <w:pPr>
        <w:jc w:val="center"/>
        <w:widowControl/>
        <w:rPr>
          <w:rFonts w:ascii="宋体" w:hAnsi="宋体"/>
          <w:color w:val="auto"/>
          <w:sz w:val="32"/>
          <w:szCs w:val="32"/>
          <w:highlight w:val="none"/>
        </w:rPr>
      </w:pPr>
      <w:r>
        <w:rPr>
          <w:color w:val="auto"/>
          <w:highlight w:val="none"/>
        </w:rPr>
        <w:br w:type="page" w:clear="all"/>
      </w:r>
      <w:r/>
    </w:p>
    <w:p>
      <w:pPr>
        <w:pStyle w:val="692"/>
        <w:jc w:val="center"/>
        <w:rPr>
          <w:rFonts w:ascii="黑体" w:hAnsi="黑体" w:eastAsia="黑体" w:cs="黑体"/>
          <w:color w:val="auto"/>
          <w:sz w:val="36"/>
          <w:szCs w:val="22"/>
          <w:highlight w:val="none"/>
        </w:rPr>
      </w:pPr>
      <w:r/>
      <w:bookmarkStart w:id="0" w:name="_Toc22126"/>
      <w:r>
        <w:rPr>
          <w:rFonts w:hint="eastAsia" w:ascii="黑体" w:hAnsi="黑体" w:eastAsia="黑体" w:cs="黑体"/>
          <w:color w:val="auto"/>
          <w:sz w:val="36"/>
          <w:szCs w:val="22"/>
          <w:highlight w:val="none"/>
        </w:rPr>
        <w:t xml:space="preserve">第一章  竞争性磋商公告</w:t>
      </w:r>
      <w:bookmarkEnd w:id="0"/>
      <w:r/>
      <w:r/>
    </w:p>
    <w:tbl>
      <w:tblPr>
        <w:tblStyle w:val="736"/>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49"/>
      </w:tblGrid>
      <w:tr>
        <w:trPr>
          <w:trHeight w:val="1113"/>
        </w:trPr>
        <w:tc>
          <w:tcPr>
            <w:tcW w:w="9585" w:type="dxa"/>
            <w:vAlign w:val="bottom"/>
            <w:textDirection w:val="lrTb"/>
            <w:noWrap w:val="false"/>
          </w:tcPr>
          <w:p>
            <w:pPr>
              <w:keepLines w:val="0"/>
              <w:keepNext w:val="0"/>
              <w:pageBreakBefore w:val="0"/>
              <w:spacing w:line="460" w:lineRule="exact"/>
              <w:widowControl w:val="off"/>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项目概况</w:t>
            </w:r>
            <w:r/>
          </w:p>
          <w:p>
            <w:pPr>
              <w:ind w:firstLine="480"/>
              <w:keepLines w:val="0"/>
              <w:keepNext w:val="0"/>
              <w:pageBreakBefore w:val="0"/>
              <w:spacing w:line="460" w:lineRule="exact"/>
              <w:widowControl w:val="off"/>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u w:val="single"/>
              </w:rPr>
              <w:t xml:space="preserve">高港实验初级中学异地重建项目材料检测</w:t>
            </w:r>
            <w:r>
              <w:rPr>
                <w:rFonts w:hint="eastAsia" w:asciiTheme="minorEastAsia" w:hAnsiTheme="minorEastAsia" w:cstheme="minorEastAsia"/>
                <w:color w:val="auto"/>
                <w:sz w:val="24"/>
                <w:highlight w:val="none"/>
              </w:rPr>
              <w:t xml:space="preserve">的潜在供应商应在</w:t>
            </w:r>
            <w:r>
              <w:rPr>
                <w:rFonts w:hint="eastAsia" w:asciiTheme="minorEastAsia" w:hAnsiTheme="minorEastAsia" w:cstheme="minorEastAsia"/>
                <w:color w:val="auto"/>
                <w:sz w:val="24"/>
                <w:highlight w:val="none"/>
                <w:u w:val="single"/>
              </w:rPr>
              <w:t xml:space="preserve">“苏采云”政府采购一体化平台获取</w:t>
            </w:r>
            <w:r>
              <w:rPr>
                <w:rFonts w:hint="eastAsia" w:asciiTheme="minorEastAsia" w:hAnsiTheme="minorEastAsia" w:cstheme="minorEastAsia"/>
                <w:color w:val="auto"/>
                <w:sz w:val="24"/>
                <w:highlight w:val="none"/>
              </w:rPr>
              <w:t xml:space="preserve">采购文件，并于2025年</w:t>
            </w:r>
            <w:r>
              <w:rPr>
                <w:rFonts w:hint="eastAsia" w:asciiTheme="minorEastAsia" w:hAnsiTheme="minorEastAsia" w:cstheme="minorEastAsia"/>
                <w:color w:val="auto"/>
                <w:sz w:val="24"/>
                <w:highlight w:val="none"/>
                <w:lang w:val="en-US" w:eastAsia="zh-CN"/>
              </w:rPr>
              <w:t xml:space="preserve">12</w:t>
            </w:r>
            <w:r>
              <w:rPr>
                <w:rFonts w:hint="eastAsia" w:asciiTheme="minorEastAsia" w:hAnsiTheme="minorEastAsia" w:cstheme="minorEastAsia"/>
                <w:color w:val="auto"/>
                <w:sz w:val="24"/>
                <w:highlight w:val="none"/>
              </w:rPr>
              <w:t xml:space="preserve">月</w:t>
            </w:r>
            <w:r>
              <w:rPr>
                <w:rFonts w:hint="eastAsia" w:asciiTheme="minorEastAsia" w:hAnsiTheme="minorEastAsia" w:cstheme="minorEastAsia"/>
                <w:color w:val="auto"/>
                <w:sz w:val="24"/>
                <w:highlight w:val="none"/>
                <w:lang w:val="en-US" w:eastAsia="zh-CN"/>
              </w:rPr>
              <w:t xml:space="preserve">23</w:t>
            </w:r>
            <w:r>
              <w:rPr>
                <w:rFonts w:hint="eastAsia" w:asciiTheme="minorEastAsia" w:hAnsiTheme="minorEastAsia" w:cstheme="minorEastAsia"/>
                <w:color w:val="auto"/>
                <w:sz w:val="24"/>
                <w:highlight w:val="none"/>
              </w:rPr>
              <w:t xml:space="preserve">日</w:t>
            </w:r>
            <w:r>
              <w:rPr>
                <w:rFonts w:hint="eastAsia" w:asciiTheme="minorEastAsia" w:hAnsiTheme="minorEastAsia" w:cstheme="minorEastAsia"/>
                <w:color w:val="auto"/>
                <w:sz w:val="24"/>
                <w:highlight w:val="none"/>
                <w:lang w:val="en-US" w:eastAsia="zh-CN"/>
              </w:rPr>
              <w:t xml:space="preserve">9</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cstheme="minorEastAsia"/>
                <w:color w:val="auto"/>
                <w:sz w:val="24"/>
                <w:highlight w:val="none"/>
              </w:rPr>
              <w:t xml:space="preserve">0（北京时间）前提交响应文件。</w:t>
            </w:r>
            <w:r/>
          </w:p>
        </w:tc>
      </w:tr>
    </w:tbl>
    <w:p>
      <w:pPr>
        <w:jc w:val="left"/>
        <w:keepLines w:val="0"/>
        <w:keepNext w:val="0"/>
        <w:pageBreakBefore w:val="0"/>
        <w:spacing w:line="460" w:lineRule="exact"/>
        <w:widowControl w:val="off"/>
        <w:rPr>
          <w:rFonts w:ascii="宋体" w:hAnsi="宋体" w:eastAsia="宋体" w:cs="宋体"/>
          <w:b/>
          <w:bCs/>
          <w:color w:val="auto"/>
          <w:sz w:val="24"/>
          <w:highlight w:val="none"/>
        </w:rPr>
        <w:outlineLvl w:val="1"/>
      </w:pPr>
      <w:r/>
      <w:bookmarkStart w:id="1" w:name="_Toc28359089"/>
      <w:r/>
      <w:bookmarkStart w:id="2" w:name="_Toc28359012"/>
      <w:r/>
      <w:bookmarkStart w:id="3" w:name="_Toc35393798"/>
      <w:r/>
      <w:bookmarkStart w:id="4" w:name="_Toc35393629"/>
      <w:r/>
      <w:bookmarkStart w:id="5" w:name="_Toc11527"/>
      <w:r>
        <w:rPr>
          <w:rFonts w:hint="eastAsia" w:ascii="宋体" w:hAnsi="宋体" w:eastAsia="宋体" w:cs="宋体"/>
          <w:b/>
          <w:bCs/>
          <w:color w:val="auto"/>
          <w:sz w:val="24"/>
          <w:highlight w:val="none"/>
        </w:rPr>
        <w:t xml:space="preserve">一、项目基本情况</w:t>
      </w:r>
      <w:bookmarkEnd w:id="1"/>
      <w:r/>
      <w:bookmarkEnd w:id="2"/>
      <w:r/>
      <w:bookmarkEnd w:id="3"/>
      <w:r/>
      <w:bookmarkEnd w:id="4"/>
      <w:r/>
      <w:bookmarkEnd w:id="5"/>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项目编号：JSZC-321203-ZCZC-C2025-0006</w:t>
      </w:r>
      <w:r/>
    </w:p>
    <w:p>
      <w:pPr>
        <w:ind w:firstLine="480"/>
        <w:jc w:val="left"/>
        <w:keepLines w:val="0"/>
        <w:keepNext w:val="0"/>
        <w:pageBreakBefore w:val="0"/>
        <w:spacing w:line="460" w:lineRule="exact"/>
        <w:widowControl w:val="off"/>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项目名称：高港实验初级中学异地重建项目材料检测</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采购方式：竞争性磋商</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143.4</w:t>
      </w:r>
      <w:r>
        <w:rPr>
          <w:rFonts w:hint="eastAsia" w:ascii="宋体" w:hAnsi="宋体" w:eastAsia="宋体" w:cs="宋体"/>
          <w:color w:val="auto"/>
          <w:sz w:val="24"/>
          <w:highlight w:val="none"/>
        </w:rPr>
        <w:t xml:space="preserve">万元</w:t>
      </w:r>
      <w:r/>
    </w:p>
    <w:p>
      <w:pPr>
        <w:ind w:firstLine="480"/>
        <w:jc w:val="left"/>
        <w:keepLines w:val="0"/>
        <w:keepNext w:val="0"/>
        <w:pageBreakBefore w:val="0"/>
        <w:spacing w:line="460" w:lineRule="exact"/>
        <w:widowControl w:val="off"/>
        <w:rPr>
          <w:rFonts w:ascii="宋体" w:hAnsi="宋体" w:eastAsia="宋体" w:cs="宋体"/>
          <w:bCs/>
          <w:color w:val="auto"/>
          <w:sz w:val="24"/>
          <w:highlight w:val="none"/>
          <w:lang w:val="zh-CN"/>
        </w:rPr>
      </w:pPr>
      <w:r>
        <w:rPr>
          <w:rFonts w:hint="eastAsia" w:ascii="宋体" w:hAnsi="宋体" w:eastAsia="宋体" w:cs="宋体"/>
          <w:color w:val="auto"/>
          <w:sz w:val="24"/>
          <w:highlight w:val="none"/>
        </w:rPr>
        <w:t xml:space="preserve">最高限价：本项目采用优惠率进行报价，检测费用=检测项目数量*标准单价*（1-成交优惠率），标准单价按</w:t>
      </w:r>
      <w:r>
        <w:rPr>
          <w:rFonts w:hint="eastAsia" w:ascii="宋体" w:hAnsi="宋体" w:eastAsia="宋体" w:cs="宋体"/>
          <w:bCs/>
          <w:color w:val="auto"/>
          <w:sz w:val="24"/>
          <w:highlight w:val="none"/>
          <w:lang w:val="zh-CN"/>
        </w:rPr>
        <w:t xml:space="preserve">苏价服</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lang w:val="zh-CN"/>
        </w:rPr>
        <w:t xml:space="preserve">2001</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lang w:val="zh-CN"/>
        </w:rPr>
        <w:t xml:space="preserve">113号、交质公</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lang w:val="zh-CN"/>
        </w:rPr>
        <w:t xml:space="preserve">2016</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lang w:val="zh-CN"/>
        </w:rPr>
        <w:t xml:space="preserve">8号、泰州市工程质量检测行业工程质量检测和建筑材料试验收费指导价等文件收费标准。</w:t>
      </w:r>
      <w:r/>
    </w:p>
    <w:p>
      <w:pPr>
        <w:ind w:firstLine="480"/>
        <w:jc w:val="left"/>
        <w:keepLines w:val="0"/>
        <w:keepNext w:val="0"/>
        <w:pageBreakBefore w:val="0"/>
        <w:spacing w:line="460" w:lineRule="exact"/>
        <w:widowControl w:val="off"/>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控制价（优惠率）为</w:t>
      </w:r>
      <w:r>
        <w:rPr>
          <w:rFonts w:hint="eastAsia" w:ascii="宋体" w:hAnsi="宋体" w:eastAsia="宋体" w:cs="宋体"/>
          <w:bCs/>
          <w:color w:val="auto"/>
          <w:sz w:val="24"/>
          <w:highlight w:val="none"/>
          <w:lang w:val="en-US" w:eastAsia="zh-CN"/>
        </w:rPr>
        <w:t xml:space="preserve">20</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，供应商报价优惠率应≥</w:t>
      </w:r>
      <w:r>
        <w:rPr>
          <w:rFonts w:hint="eastAsia" w:ascii="宋体" w:hAnsi="宋体" w:eastAsia="宋体" w:cs="宋体"/>
          <w:bCs/>
          <w:color w:val="auto"/>
          <w:sz w:val="24"/>
          <w:highlight w:val="none"/>
          <w:lang w:val="en-US" w:eastAsia="zh-CN"/>
        </w:rPr>
        <w:t xml:space="preserve">20</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本项目最终</w:t>
      </w:r>
      <w:r>
        <w:rPr>
          <w:rFonts w:hint="eastAsia" w:ascii="宋体" w:hAnsi="宋体" w:eastAsia="宋体" w:cs="宋体"/>
          <w:bCs/>
          <w:color w:val="auto"/>
          <w:sz w:val="24"/>
          <w:highlight w:val="none"/>
          <w:lang w:val="zh-CN"/>
        </w:rPr>
        <w:t xml:space="preserve">结算价不超过</w:t>
      </w:r>
      <w:r>
        <w:rPr>
          <w:rFonts w:hint="eastAsia" w:ascii="宋体" w:hAnsi="宋体" w:eastAsia="宋体" w:cs="宋体"/>
          <w:bCs/>
          <w:color w:val="auto"/>
          <w:sz w:val="24"/>
          <w:highlight w:val="none"/>
          <w:lang w:val="en-US" w:eastAsia="zh-CN"/>
        </w:rPr>
        <w:t xml:space="preserve">143</w:t>
      </w:r>
      <w:r>
        <w:rPr>
          <w:rFonts w:hint="eastAsia" w:ascii="宋体" w:hAnsi="宋体" w:eastAsia="宋体" w:cs="宋体"/>
          <w:bCs/>
          <w:color w:val="auto"/>
          <w:sz w:val="24"/>
          <w:highlight w:val="none"/>
          <w:lang w:val="zh-CN"/>
        </w:rPr>
        <w:t xml:space="preserve">万元</w:t>
      </w:r>
      <w:r>
        <w:rPr>
          <w:rFonts w:hint="eastAsia" w:ascii="宋体" w:hAnsi="宋体" w:eastAsia="宋体" w:cs="宋体"/>
          <w:bCs/>
          <w:color w:val="auto"/>
          <w:sz w:val="24"/>
          <w:highlight w:val="none"/>
          <w:lang w:val="zh-CN"/>
        </w:rPr>
        <w:t xml:space="preserve">；</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供应商优惠率报价不得低于控制价，否则视为无效投标。</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rPr>
        <w:t xml:space="preserve">工程实施过程中，按设计及规范要求对施工范围内和施工期间涉及的材料试验检测、桩基检测（含试桩）及沉降观测等进行抽检试验</w:t>
      </w:r>
      <w:r>
        <w:rPr>
          <w:rFonts w:hint="eastAsia" w:ascii="宋体" w:hAnsi="宋体" w:eastAsia="宋体" w:cs="宋体"/>
          <w:color w:val="auto"/>
          <w:sz w:val="24"/>
          <w:highlight w:val="none"/>
        </w:rPr>
        <w:t xml:space="preserve">（不含基坑监测）</w:t>
      </w:r>
      <w:r>
        <w:rPr>
          <w:rFonts w:hint="eastAsia" w:ascii="宋体" w:hAnsi="宋体" w:eastAsia="宋体" w:cs="宋体"/>
          <w:color w:val="auto"/>
          <w:sz w:val="24"/>
          <w:highlight w:val="none"/>
        </w:rPr>
        <w:t xml:space="preserve">，对各分部分项工程实体的质量进行现场检测。具体范围和内容详见竞争性磋商文件。</w:t>
      </w:r>
      <w:r/>
    </w:p>
    <w:p>
      <w:pPr>
        <w:pStyle w:val="735"/>
        <w:ind w:left="0" w:firstLine="480"/>
        <w:jc w:val="left"/>
        <w:keepLines w:val="0"/>
        <w:keepNext w:val="0"/>
        <w:pageBreakBefore w:val="0"/>
        <w:spacing w:after="0" w:line="460" w:lineRule="exact"/>
        <w:widowControl w:val="off"/>
        <w:rPr>
          <w:rFonts w:asciiTheme="minorEastAsia" w:hAnsiTheme="minorEastAsia" w:eastAsiaTheme="minorEastAsia"/>
          <w:color w:val="auto"/>
          <w:sz w:val="24"/>
          <w:highlight w:val="none"/>
        </w:rPr>
      </w:pPr>
      <w:r>
        <w:rPr>
          <w:rFonts w:hint="eastAsia" w:ascii="宋体" w:hAnsi="宋体" w:cs="宋体"/>
          <w:color w:val="auto"/>
          <w:sz w:val="24"/>
          <w:highlight w:val="none"/>
        </w:rPr>
        <w:t xml:space="preserve">合同履行期限：</w:t>
      </w:r>
      <w:bookmarkStart w:id="6" w:name="_Toc35393630"/>
      <w:r/>
      <w:bookmarkStart w:id="7" w:name="_Toc35393799"/>
      <w:r/>
      <w:bookmarkStart w:id="8" w:name="_Toc28359090"/>
      <w:r/>
      <w:bookmarkStart w:id="9" w:name="_Toc28359013"/>
      <w:r>
        <w:rPr>
          <w:rFonts w:hint="eastAsia" w:ascii="宋体" w:hAnsi="宋体" w:cs="宋体"/>
          <w:bCs/>
          <w:color w:val="auto"/>
          <w:sz w:val="24"/>
          <w:highlight w:val="none"/>
        </w:rPr>
        <w:t xml:space="preserve">暂定</w:t>
      </w:r>
      <w:r>
        <w:rPr>
          <w:rFonts w:hint="eastAsia" w:ascii="宋体" w:hAnsi="宋体" w:cs="宋体"/>
          <w:bCs/>
          <w:color w:val="auto"/>
          <w:sz w:val="24"/>
          <w:highlight w:val="none"/>
          <w:lang w:val="en-US" w:eastAsia="zh-CN"/>
        </w:rPr>
        <w:t xml:space="preserve">450</w:t>
      </w:r>
      <w:r>
        <w:rPr>
          <w:rFonts w:hint="eastAsia" w:ascii="宋体" w:hAnsi="宋体" w:cs="宋体"/>
          <w:bCs/>
          <w:color w:val="auto"/>
          <w:sz w:val="24"/>
          <w:highlight w:val="none"/>
        </w:rPr>
        <w:t xml:space="preserve">日历天（与施工工期同步），若遇工期延长情况时，检测费不作任何调整。</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本项目不接受联合体投标。</w:t>
      </w:r>
      <w:r/>
    </w:p>
    <w:p>
      <w:pPr>
        <w:jc w:val="left"/>
        <w:keepLines w:val="0"/>
        <w:keepNext w:val="0"/>
        <w:pageBreakBefore w:val="0"/>
        <w:spacing w:line="460" w:lineRule="exact"/>
        <w:widowControl w:val="off"/>
        <w:rPr>
          <w:rFonts w:ascii="宋体" w:hAnsi="宋体" w:eastAsia="宋体" w:cs="宋体"/>
          <w:b/>
          <w:bCs/>
          <w:color w:val="auto"/>
          <w:sz w:val="24"/>
          <w:highlight w:val="none"/>
        </w:rPr>
        <w:outlineLvl w:val="1"/>
      </w:pPr>
      <w:r/>
      <w:bookmarkStart w:id="10" w:name="_Toc17425"/>
      <w:r>
        <w:rPr>
          <w:rFonts w:hint="eastAsia" w:ascii="宋体" w:hAnsi="宋体" w:eastAsia="宋体" w:cs="宋体"/>
          <w:b/>
          <w:bCs/>
          <w:color w:val="auto"/>
          <w:sz w:val="24"/>
          <w:highlight w:val="none"/>
        </w:rPr>
        <w:t xml:space="preserve">二、申请人的资格要求：</w:t>
      </w:r>
      <w:bookmarkEnd w:id="6"/>
      <w:r/>
      <w:bookmarkEnd w:id="7"/>
      <w:r/>
      <w:bookmarkEnd w:id="8"/>
      <w:r/>
      <w:bookmarkEnd w:id="9"/>
      <w:r/>
      <w:bookmarkEnd w:id="10"/>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（一）满足《中华人民共和国政府采购法》第二十二条规定：</w:t>
      </w:r>
      <w:r/>
    </w:p>
    <w:p>
      <w:pPr>
        <w:ind w:firstLine="480"/>
        <w:jc w:val="left"/>
        <w:keepLines w:val="0"/>
        <w:keepNext w:val="0"/>
        <w:pageBreakBefore w:val="0"/>
        <w:spacing w:line="460" w:lineRule="exact"/>
        <w:widowControl w:val="off"/>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具有独立承担民事责任的能力；</w:t>
      </w:r>
      <w:r/>
    </w:p>
    <w:p>
      <w:pPr>
        <w:ind w:firstLine="480"/>
        <w:jc w:val="left"/>
        <w:keepLines w:val="0"/>
        <w:keepNext w:val="0"/>
        <w:pageBreakBefore w:val="0"/>
        <w:spacing w:line="460" w:lineRule="exact"/>
        <w:widowControl w:val="off"/>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具有良好的商业信誉和健全的财务会计制度；</w:t>
      </w:r>
      <w:r/>
    </w:p>
    <w:p>
      <w:pPr>
        <w:ind w:firstLine="480"/>
        <w:jc w:val="left"/>
        <w:keepLines w:val="0"/>
        <w:keepNext w:val="0"/>
        <w:pageBreakBefore w:val="0"/>
        <w:spacing w:line="460" w:lineRule="exact"/>
        <w:widowControl w:val="off"/>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具有履行合同所必需的设备和专业技术能力；</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有依法缴纳税收和社会保障资金的良好记录；</w:t>
      </w:r>
      <w:r/>
    </w:p>
    <w:p>
      <w:pPr>
        <w:ind w:firstLine="480"/>
        <w:jc w:val="left"/>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rPr>
          <w:rFonts w:hint="eastAsia" w:ascii="宋体" w:hAnsi="宋体" w:eastAsia="宋体" w:cs="宋体"/>
          <w:color w:val="auto"/>
          <w:sz w:val="24"/>
          <w:highlight w:val="none"/>
          <w:lang w:val="zh-CN"/>
        </w:rPr>
        <w:t xml:space="preserve">。</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bookmarkStart w:id="11" w:name="_Toc28359014"/>
      <w:r/>
      <w:bookmarkStart w:id="12" w:name="_Toc28359091"/>
      <w:r/>
      <w:bookmarkStart w:id="13" w:name="_Toc35393631"/>
      <w:r/>
      <w:bookmarkStart w:id="14" w:name="_Toc35393800"/>
      <w:r>
        <w:rPr>
          <w:rFonts w:hint="eastAsia" w:ascii="宋体" w:hAnsi="宋体" w:eastAsia="宋体" w:cs="宋体"/>
          <w:color w:val="auto"/>
          <w:sz w:val="24"/>
          <w:highlight w:val="none"/>
        </w:rPr>
        <w:t xml:space="preserve">（二）落实政府采购政策需满足的资格要求：</w:t>
      </w:r>
      <w:r/>
    </w:p>
    <w:p>
      <w:pPr>
        <w:ind w:firstLine="480"/>
        <w:jc w:val="left"/>
        <w:keepLines w:val="0"/>
        <w:keepNext w:val="0"/>
        <w:pageBreakBefore w:val="0"/>
        <w:spacing w:line="460" w:lineRule="exact"/>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1.本项目专门面向中小企业采购。</w:t>
      </w:r>
      <w:r>
        <w:rPr>
          <w:rFonts w:hint="eastAsia" w:ascii="宋体" w:hAnsi="宋体" w:cs="宋体"/>
          <w:color w:val="auto"/>
          <w:sz w:val="24"/>
          <w:highlight w:val="none"/>
        </w:rPr>
        <w:t xml:space="preserve">供应商应为中小微企业、监狱企业、残疾人福利性单位之一。</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ind w:firstLine="480"/>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1.供应商具备【备案类见证取样检测、地基基础工程专项检测、主体结构工程检测、市政工程检测】资质；</w:t>
      </w:r>
      <w:r/>
    </w:p>
    <w:p>
      <w:pPr>
        <w:ind w:firstLine="480"/>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2.供应商具有省级及以上质量技术监督部门（或市场监督管理部门）颁发的计量认证证书；</w:t>
      </w:r>
      <w:r/>
    </w:p>
    <w:p>
      <w:pPr>
        <w:ind w:firstLine="480"/>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3.供应商在承担检测业务所在地的人员、仪器设备、检测场所、质量保证体系等应当满足开展相应建设工程质量检测活动的要求。</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（四）拒绝下述供应商参加本次采购活动：</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1.凡为采购项目提供整体设计、规范编制或者项目管理、监理、检测等服务的供应商，不得再参加该项目的其他采购活动；</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2.供应商单位负责人为同一人或者存在直接控股、管理关系的不同供应商，不得参加同一合同项下的政府采购活动；</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3.供应商被“信用中国”网站（www.creditchina.gov.cn）列入失信被执行人、重大税收违法案件当事人名单、政府采购严重违法失信行为记录名单。</w:t>
      </w:r>
      <w:bookmarkEnd w:id="11"/>
      <w:r/>
      <w:bookmarkEnd w:id="12"/>
      <w:r/>
      <w:bookmarkEnd w:id="13"/>
      <w:r/>
      <w:bookmarkEnd w:id="14"/>
      <w:r/>
      <w:r/>
    </w:p>
    <w:p>
      <w:pPr>
        <w:jc w:val="left"/>
        <w:keepLines w:val="0"/>
        <w:keepNext w:val="0"/>
        <w:pageBreakBefore w:val="0"/>
        <w:spacing w:line="460" w:lineRule="exact"/>
        <w:widowControl w:val="off"/>
        <w:rPr>
          <w:rFonts w:ascii="宋体" w:hAnsi="宋体" w:eastAsia="宋体" w:cs="宋体"/>
          <w:b/>
          <w:bCs/>
          <w:color w:val="auto"/>
          <w:sz w:val="24"/>
          <w:highlight w:val="none"/>
        </w:rPr>
        <w:outlineLvl w:val="1"/>
      </w:pPr>
      <w:r/>
      <w:bookmarkStart w:id="15" w:name="_Toc25700"/>
      <w:r>
        <w:rPr>
          <w:rFonts w:hint="eastAsia" w:ascii="宋体" w:hAnsi="宋体" w:eastAsia="宋体" w:cs="宋体"/>
          <w:b/>
          <w:bCs/>
          <w:color w:val="auto"/>
          <w:sz w:val="24"/>
          <w:highlight w:val="none"/>
        </w:rPr>
        <w:t xml:space="preserve">三、获取采购文件</w:t>
      </w:r>
      <w:bookmarkEnd w:id="15"/>
      <w:r/>
      <w:r/>
    </w:p>
    <w:p>
      <w:pPr>
        <w:ind w:firstLine="540"/>
        <w:jc w:val="left"/>
        <w:keepLines w:val="0"/>
        <w:keepNext w:val="0"/>
        <w:pageBreakBefore w:val="0"/>
        <w:spacing w:line="46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lang w:val="en-US" w:eastAsia="zh-CN"/>
        </w:rPr>
        <w:t xml:space="preserve">2025年12月11日0:00-12月18日0:00</w:t>
      </w:r>
      <w:r/>
    </w:p>
    <w:p>
      <w:pPr>
        <w:ind w:firstLine="54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地点：“苏采云”政府采购一体化平台；</w:t>
      </w:r>
      <w:r/>
    </w:p>
    <w:p>
      <w:pPr>
        <w:ind w:firstLine="54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方式：</w:t>
      </w:r>
      <w:bookmarkStart w:id="16" w:name="_Toc35393801"/>
      <w:r/>
      <w:bookmarkStart w:id="17" w:name="_Toc28359092"/>
      <w:r/>
      <w:bookmarkStart w:id="18" w:name="_Toc28359015"/>
      <w:r/>
      <w:bookmarkStart w:id="19" w:name="_Toc35393632"/>
      <w:r>
        <w:rPr>
          <w:rFonts w:hint="eastAsia" w:ascii="宋体" w:hAnsi="宋体" w:eastAsia="宋体" w:cs="宋体"/>
          <w:color w:val="auto"/>
          <w:sz w:val="24"/>
          <w:highlight w:val="none"/>
        </w:rPr>
        <w:t xml:space="preserve">供应商完成注册并办理CA证书后登录“苏采云”政府采购一体化平台，选择本项目点击“我要参与”并下载本项目采购文件。</w:t>
      </w:r>
      <w:r/>
    </w:p>
    <w:p>
      <w:pPr>
        <w:ind w:firstLine="54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售价：0.00元。</w:t>
      </w:r>
      <w:r/>
    </w:p>
    <w:p>
      <w:pPr>
        <w:jc w:val="left"/>
        <w:keepLines w:val="0"/>
        <w:keepNext w:val="0"/>
        <w:pageBreakBefore w:val="0"/>
        <w:spacing w:line="460" w:lineRule="exact"/>
        <w:widowControl w:val="off"/>
        <w:rPr>
          <w:rFonts w:ascii="宋体" w:hAnsi="宋体" w:eastAsia="宋体" w:cs="宋体"/>
          <w:b/>
          <w:bCs/>
          <w:color w:val="auto"/>
          <w:sz w:val="24"/>
          <w:highlight w:val="none"/>
        </w:rPr>
        <w:outlineLvl w:val="1"/>
      </w:pPr>
      <w:r/>
      <w:bookmarkStart w:id="20" w:name="_Toc28997"/>
      <w:r>
        <w:rPr>
          <w:rFonts w:hint="eastAsia" w:ascii="宋体" w:hAnsi="宋体" w:eastAsia="宋体" w:cs="宋体"/>
          <w:b/>
          <w:bCs/>
          <w:color w:val="auto"/>
          <w:sz w:val="24"/>
          <w:highlight w:val="none"/>
        </w:rPr>
        <w:t xml:space="preserve">四、响应文件提交</w:t>
      </w:r>
      <w:bookmarkEnd w:id="16"/>
      <w:r/>
      <w:bookmarkEnd w:id="17"/>
      <w:r/>
      <w:bookmarkEnd w:id="18"/>
      <w:r/>
      <w:bookmarkEnd w:id="19"/>
      <w:r/>
      <w:bookmarkEnd w:id="20"/>
      <w:r/>
      <w:r/>
    </w:p>
    <w:p>
      <w:pPr>
        <w:ind w:firstLine="480"/>
        <w:jc w:val="left"/>
        <w:keepLines w:val="0"/>
        <w:keepNext w:val="0"/>
        <w:pageBreakBefore w:val="0"/>
        <w:spacing w:line="460" w:lineRule="exact"/>
        <w:widowControl w:val="off"/>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截止时间：2025年</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23</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:30</w:t>
      </w:r>
      <w:r>
        <w:rPr>
          <w:rFonts w:hint="eastAsia" w:ascii="宋体" w:hAnsi="宋体" w:eastAsia="宋体" w:cs="宋体"/>
          <w:bCs/>
          <w:color w:val="auto"/>
          <w:sz w:val="24"/>
          <w:highlight w:val="none"/>
        </w:rPr>
        <w:t xml:space="preserve">（北京时间）</w:t>
      </w:r>
      <w:r/>
    </w:p>
    <w:p>
      <w:pPr>
        <w:ind w:firstLine="480"/>
        <w:jc w:val="left"/>
        <w:keepLines w:val="0"/>
        <w:keepNext w:val="0"/>
        <w:pageBreakBefore w:val="0"/>
        <w:spacing w:line="460" w:lineRule="exact"/>
        <w:widowControl w:val="off"/>
        <w:rPr>
          <w:rFonts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地点：</w:t>
      </w:r>
      <w:r>
        <w:rPr>
          <w:rFonts w:hint="eastAsia" w:eastAsia="宋体"/>
          <w:color w:val="auto"/>
          <w:sz w:val="24"/>
          <w:highlight w:val="none"/>
          <w:lang w:val="zh-TW" w:eastAsia="zh-TW"/>
        </w:rPr>
        <w:t xml:space="preserve">江苏政府采购</w:t>
      </w:r>
      <w:r>
        <w:rPr>
          <w:rFonts w:ascii="宋体" w:hAnsi="宋体"/>
          <w:color w:val="auto"/>
          <w:sz w:val="24"/>
          <w:highlight w:val="none"/>
        </w:rPr>
        <w:t xml:space="preserve">“</w:t>
      </w:r>
      <w:r>
        <w:rPr>
          <w:rFonts w:hint="eastAsia" w:eastAsia="宋体"/>
          <w:color w:val="auto"/>
          <w:sz w:val="24"/>
          <w:highlight w:val="none"/>
          <w:lang w:val="zh-TW" w:eastAsia="zh-TW"/>
        </w:rPr>
        <w:t xml:space="preserve">苏采云</w:t>
      </w:r>
      <w:r>
        <w:rPr>
          <w:rFonts w:ascii="宋体" w:hAnsi="宋体"/>
          <w:color w:val="auto"/>
          <w:sz w:val="24"/>
          <w:highlight w:val="none"/>
        </w:rPr>
        <w:t xml:space="preserve">”</w:t>
      </w:r>
      <w:r>
        <w:rPr>
          <w:rFonts w:hint="eastAsia" w:eastAsia="宋体"/>
          <w:color w:val="auto"/>
          <w:sz w:val="24"/>
          <w:highlight w:val="none"/>
          <w:lang w:val="zh-TW" w:eastAsia="zh-TW"/>
        </w:rPr>
        <w:t xml:space="preserve">系统不见面开标大厅</w:t>
      </w:r>
      <w:r/>
    </w:p>
    <w:p>
      <w:pPr>
        <w:jc w:val="left"/>
        <w:keepLines w:val="0"/>
        <w:keepNext w:val="0"/>
        <w:pageBreakBefore w:val="0"/>
        <w:spacing w:line="460" w:lineRule="exact"/>
        <w:widowControl w:val="off"/>
        <w:rPr>
          <w:rFonts w:ascii="宋体" w:hAnsi="宋体" w:eastAsia="宋体" w:cs="宋体"/>
          <w:b/>
          <w:bCs/>
          <w:color w:val="auto"/>
          <w:sz w:val="24"/>
          <w:highlight w:val="none"/>
        </w:rPr>
        <w:outlineLvl w:val="1"/>
      </w:pPr>
      <w:r/>
      <w:bookmarkStart w:id="21" w:name="_Toc35393633"/>
      <w:r/>
      <w:bookmarkStart w:id="22" w:name="_Toc28359016"/>
      <w:r/>
      <w:bookmarkStart w:id="23" w:name="_Toc26242"/>
      <w:r/>
      <w:bookmarkStart w:id="24" w:name="_Toc35393802"/>
      <w:r/>
      <w:bookmarkStart w:id="25" w:name="_Toc28359093"/>
      <w:r>
        <w:rPr>
          <w:rFonts w:hint="eastAsia" w:ascii="宋体" w:hAnsi="宋体" w:eastAsia="宋体" w:cs="宋体"/>
          <w:b/>
          <w:bCs/>
          <w:color w:val="auto"/>
          <w:sz w:val="24"/>
          <w:highlight w:val="none"/>
        </w:rPr>
        <w:t xml:space="preserve">五、开启</w:t>
      </w:r>
      <w:bookmarkEnd w:id="21"/>
      <w:r/>
      <w:bookmarkEnd w:id="22"/>
      <w:r/>
      <w:bookmarkEnd w:id="23"/>
      <w:r/>
      <w:bookmarkEnd w:id="24"/>
      <w:r/>
      <w:bookmarkEnd w:id="25"/>
      <w:r/>
      <w:r/>
    </w:p>
    <w:p>
      <w:pPr>
        <w:ind w:firstLine="480"/>
        <w:jc w:val="left"/>
        <w:keepLines w:val="0"/>
        <w:keepNext w:val="0"/>
        <w:pageBreakBefore w:val="0"/>
        <w:spacing w:line="460" w:lineRule="exact"/>
        <w:widowControl w:val="off"/>
        <w:rPr>
          <w:rFonts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时间：2025年</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23</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:30</w:t>
      </w:r>
      <w:r>
        <w:rPr>
          <w:rFonts w:hint="eastAsia" w:ascii="宋体" w:hAnsi="宋体" w:eastAsia="宋体" w:cs="宋体"/>
          <w:bCs/>
          <w:color w:val="auto"/>
          <w:sz w:val="24"/>
          <w:highlight w:val="none"/>
        </w:rPr>
        <w:t xml:space="preserve">（北京时间）</w:t>
      </w:r>
      <w:r/>
    </w:p>
    <w:p>
      <w:pPr>
        <w:ind w:firstLine="480"/>
        <w:jc w:val="left"/>
        <w:keepLines w:val="0"/>
        <w:keepNext w:val="0"/>
        <w:pageBreakBefore w:val="0"/>
        <w:spacing w:line="460" w:lineRule="exact"/>
        <w:widowControl w:val="off"/>
        <w:rPr>
          <w:rFonts w:ascii="宋体" w:hAnsi="宋体" w:eastAsia="宋体" w:cs="宋体"/>
          <w:color w:val="auto"/>
          <w:sz w:val="24"/>
          <w:highlight w:val="none"/>
          <w:lang w:val="zh-TW" w:eastAsia="zh-TW"/>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lang w:val="zh-TW" w:eastAsia="zh-TW"/>
        </w:rPr>
        <w:t xml:space="preserve">江苏政府采购“苏采云”系统不见面开标大厅</w:t>
      </w:r>
      <w:r/>
    </w:p>
    <w:p>
      <w:pPr>
        <w:jc w:val="left"/>
        <w:keepLines w:val="0"/>
        <w:keepNext w:val="0"/>
        <w:pageBreakBefore w:val="0"/>
        <w:spacing w:line="460" w:lineRule="exact"/>
        <w:widowControl w:val="off"/>
        <w:rPr>
          <w:rFonts w:ascii="宋体" w:hAnsi="宋体" w:eastAsia="宋体" w:cs="宋体"/>
          <w:b/>
          <w:bCs/>
          <w:color w:val="auto"/>
          <w:sz w:val="24"/>
          <w:highlight w:val="none"/>
        </w:rPr>
        <w:outlineLvl w:val="1"/>
      </w:pPr>
      <w:r/>
      <w:bookmarkStart w:id="26" w:name="_Toc28359094"/>
      <w:r/>
      <w:bookmarkStart w:id="27" w:name="_Toc35393634"/>
      <w:r/>
      <w:bookmarkStart w:id="28" w:name="_Toc35393803"/>
      <w:r/>
      <w:bookmarkStart w:id="29" w:name="_Toc17116"/>
      <w:r/>
      <w:bookmarkStart w:id="30" w:name="_Toc28359017"/>
      <w:r>
        <w:rPr>
          <w:rFonts w:hint="eastAsia" w:ascii="宋体" w:hAnsi="宋体" w:eastAsia="宋体" w:cs="宋体"/>
          <w:b/>
          <w:bCs/>
          <w:color w:val="auto"/>
          <w:sz w:val="24"/>
          <w:highlight w:val="none"/>
        </w:rPr>
        <w:t xml:space="preserve">六、公告期限</w:t>
      </w:r>
      <w:bookmarkEnd w:id="26"/>
      <w:r/>
      <w:bookmarkEnd w:id="27"/>
      <w:r/>
      <w:bookmarkEnd w:id="28"/>
      <w:r/>
      <w:bookmarkEnd w:id="29"/>
      <w:r/>
      <w:bookmarkEnd w:id="30"/>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自本公告发布之日起3个工作日。</w:t>
      </w:r>
      <w:r/>
    </w:p>
    <w:p>
      <w:pPr>
        <w:jc w:val="left"/>
        <w:keepLines w:val="0"/>
        <w:keepNext w:val="0"/>
        <w:pageBreakBefore w:val="0"/>
        <w:spacing w:line="460" w:lineRule="exact"/>
        <w:widowControl w:val="off"/>
        <w:rPr>
          <w:rFonts w:ascii="宋体" w:hAnsi="宋体" w:eastAsia="宋体" w:cs="宋体"/>
          <w:b/>
          <w:bCs/>
          <w:color w:val="auto"/>
          <w:sz w:val="24"/>
          <w:highlight w:val="none"/>
        </w:rPr>
        <w:outlineLvl w:val="1"/>
      </w:pPr>
      <w:r/>
      <w:bookmarkStart w:id="31" w:name="_Toc35393635"/>
      <w:r/>
      <w:bookmarkStart w:id="32" w:name="_Toc35393804"/>
      <w:r/>
      <w:bookmarkStart w:id="33" w:name="_Toc2703"/>
      <w:r>
        <w:rPr>
          <w:rFonts w:hint="eastAsia" w:ascii="宋体" w:hAnsi="宋体" w:eastAsia="宋体" w:cs="宋体"/>
          <w:b/>
          <w:bCs/>
          <w:color w:val="auto"/>
          <w:sz w:val="24"/>
          <w:highlight w:val="none"/>
        </w:rPr>
        <w:t xml:space="preserve">七、其他补充事宜</w:t>
      </w:r>
      <w:bookmarkEnd w:id="31"/>
      <w:r/>
      <w:bookmarkEnd w:id="32"/>
      <w:r/>
      <w:bookmarkEnd w:id="33"/>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bookmarkStart w:id="34" w:name="_Toc28359018"/>
      <w:r/>
      <w:bookmarkStart w:id="35" w:name="_Toc35393805"/>
      <w:r/>
      <w:bookmarkStart w:id="36" w:name="_Toc28359095"/>
      <w:r/>
      <w:bookmarkStart w:id="37" w:name="_Toc35393636"/>
      <w:r>
        <w:rPr>
          <w:rFonts w:hint="eastAsia" w:ascii="宋体" w:hAnsi="宋体" w:eastAsia="宋体" w:cs="宋体"/>
          <w:color w:val="auto"/>
          <w:sz w:val="24"/>
          <w:highlight w:val="none"/>
        </w:rPr>
        <w:t xml:space="preserve">（1）潜在供应商登录“江苏省政府采购管理交易系统（苏采云）”须持经注册的CA证书。未注册、领取新CA和办理电子签章的潜在供应商，请根据《江苏省政府采购数字证书（供应商）数字证书CA及电子签章办理指南》（http://jsxcmm.com/help/gys.html）到相关地区办理。</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（2）本项目采用电子化投标，具体操作详见《“苏采云”系统供应商操作手册》，网址链接http://www.ccgp-jiangsu.gov.cn//webfile/jiangsu/202311/1699268553318052447.pdf。</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（3）有关本次招标采购的事项若存在变动或修改，敬请及时关注“江苏政府采购网”发布的更正公告。 </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outlineLvl w:val="1"/>
      </w:pPr>
      <w:r/>
      <w:bookmarkStart w:id="38" w:name="_Toc3108"/>
      <w:r/>
      <w:bookmarkStart w:id="39" w:name="_Toc10850"/>
      <w:r>
        <w:rPr>
          <w:rFonts w:hint="eastAsia" w:ascii="宋体" w:hAnsi="宋体" w:eastAsia="宋体" w:cs="宋体"/>
          <w:color w:val="auto"/>
          <w:sz w:val="24"/>
          <w:highlight w:val="none"/>
        </w:rPr>
        <w:t xml:space="preserve">如潜在供应商未按上述要求操作，将自行承担所产生的风险。</w:t>
      </w:r>
      <w:bookmarkEnd w:id="38"/>
      <w:r/>
      <w:bookmarkEnd w:id="39"/>
      <w:r/>
      <w:r/>
    </w:p>
    <w:p>
      <w:pPr>
        <w:jc w:val="left"/>
        <w:keepLines w:val="0"/>
        <w:keepNext w:val="0"/>
        <w:pageBreakBefore w:val="0"/>
        <w:spacing w:line="460" w:lineRule="exact"/>
        <w:widowControl w:val="off"/>
        <w:rPr>
          <w:rFonts w:ascii="宋体" w:hAnsi="宋体" w:eastAsia="宋体" w:cs="宋体"/>
          <w:b/>
          <w:bCs/>
          <w:color w:val="auto"/>
          <w:sz w:val="24"/>
          <w:highlight w:val="none"/>
        </w:rPr>
        <w:outlineLvl w:val="1"/>
      </w:pPr>
      <w:r/>
      <w:bookmarkStart w:id="40" w:name="_Toc32406"/>
      <w:r>
        <w:rPr>
          <w:rFonts w:hint="eastAsia" w:ascii="宋体" w:hAnsi="宋体" w:eastAsia="宋体" w:cs="宋体"/>
          <w:b/>
          <w:bCs/>
          <w:color w:val="auto"/>
          <w:sz w:val="24"/>
          <w:highlight w:val="none"/>
        </w:rPr>
        <w:t xml:space="preserve">八、凡对本次采购提出询问，请按以下方式联系。</w:t>
      </w:r>
      <w:bookmarkEnd w:id="34"/>
      <w:r/>
      <w:bookmarkEnd w:id="35"/>
      <w:r/>
      <w:bookmarkEnd w:id="36"/>
      <w:r/>
      <w:bookmarkEnd w:id="37"/>
      <w:r/>
      <w:bookmarkEnd w:id="40"/>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bookmarkStart w:id="41" w:name="_Toc35393806"/>
      <w:r/>
      <w:bookmarkStart w:id="42" w:name="_Toc28359019"/>
      <w:r/>
      <w:bookmarkStart w:id="43" w:name="_Toc35393637"/>
      <w:r/>
      <w:bookmarkStart w:id="44" w:name="_Toc28359096"/>
      <w:r>
        <w:rPr>
          <w:rFonts w:hint="eastAsia" w:ascii="宋体" w:hAnsi="宋体" w:eastAsia="宋体" w:cs="宋体"/>
          <w:color w:val="auto"/>
          <w:sz w:val="24"/>
          <w:highlight w:val="none"/>
        </w:rPr>
        <w:t xml:space="preserve">1.采购人信息</w:t>
      </w:r>
      <w:bookmarkEnd w:id="41"/>
      <w:r/>
      <w:bookmarkEnd w:id="42"/>
      <w:r/>
      <w:bookmarkEnd w:id="43"/>
      <w:r/>
      <w:bookmarkEnd w:id="44"/>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名称：泰州医药高新技术产业开发区（泰州市高港区）区级政府投资项目集中建设中心</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地址：泰州市高港区金港中路119号 </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联系方式：王咏川    </w:t>
      </w:r>
      <w:r>
        <w:rPr>
          <w:rFonts w:ascii="宋体" w:hAnsi="宋体" w:eastAsia="宋体" w:cs="宋体"/>
          <w:color w:val="auto"/>
          <w:sz w:val="24"/>
          <w:highlight w:val="none"/>
        </w:rPr>
        <w:t xml:space="preserve">0523-86969222</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bookmarkStart w:id="45" w:name="_Toc28359020"/>
      <w:r/>
      <w:bookmarkStart w:id="46" w:name="_Toc35393807"/>
      <w:r/>
      <w:bookmarkStart w:id="47" w:name="_Toc28359097"/>
      <w:r/>
      <w:bookmarkStart w:id="48" w:name="_Toc35393638"/>
      <w:r>
        <w:rPr>
          <w:rFonts w:hint="eastAsia" w:ascii="宋体" w:hAnsi="宋体" w:eastAsia="宋体" w:cs="宋体"/>
          <w:color w:val="auto"/>
          <w:sz w:val="24"/>
          <w:highlight w:val="none"/>
        </w:rPr>
        <w:t xml:space="preserve">2.</w:t>
      </w:r>
      <w:bookmarkEnd w:id="45"/>
      <w:r/>
      <w:bookmarkEnd w:id="46"/>
      <w:r/>
      <w:bookmarkEnd w:id="47"/>
      <w:r/>
      <w:bookmarkEnd w:id="48"/>
      <w:r>
        <w:rPr>
          <w:rFonts w:hint="eastAsia" w:ascii="宋体" w:hAnsi="宋体" w:eastAsia="宋体" w:cs="宋体"/>
          <w:color w:val="auto"/>
          <w:sz w:val="24"/>
          <w:highlight w:val="none"/>
        </w:rPr>
        <w:t xml:space="preserve">采购代理机构信息</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名称：江苏中诚工程管理有限公司</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地址：靖江市滨江国际商务中心B座7楼</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夏清</w:t>
      </w:r>
      <w:r>
        <w:rPr>
          <w:rFonts w:hint="eastAsia" w:ascii="宋体" w:hAnsi="宋体" w:eastAsia="宋体" w:cs="宋体"/>
          <w:color w:val="auto"/>
          <w:sz w:val="24"/>
          <w:highlight w:val="none"/>
        </w:rPr>
        <w:t xml:space="preserve">   15261039235</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rPr>
          <w:rFonts w:hint="eastAsia" w:ascii="宋体" w:hAnsi="宋体" w:eastAsia="宋体" w:cs="宋体"/>
          <w:color w:val="auto"/>
          <w:sz w:val="24"/>
          <w:highlight w:val="none"/>
          <w:lang w:val="en-US" w:eastAsia="zh-CN"/>
        </w:rPr>
        <w:t xml:space="preserve">夏清</w:t>
      </w:r>
      <w:r/>
    </w:p>
    <w:p>
      <w:pPr>
        <w:ind w:firstLine="480"/>
        <w:jc w:val="left"/>
        <w:keepLines w:val="0"/>
        <w:keepNext w:val="0"/>
        <w:pageBreakBefore w:val="0"/>
        <w:spacing w:line="46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电话：15261039235</w:t>
      </w:r>
      <w:r/>
    </w:p>
    <w:p>
      <w:pPr>
        <w:jc w:val="left"/>
        <w:spacing w:line="360" w:lineRule="auto"/>
        <w:widowControl/>
        <w:rPr>
          <w:rFonts w:ascii="宋体" w:hAnsi="宋体" w:cs="宋体"/>
          <w:b/>
          <w:bCs/>
          <w:color w:val="auto"/>
          <w:sz w:val="24"/>
          <w:highlight w:val="none"/>
        </w:rPr>
      </w:pPr>
      <w:r>
        <w:rPr>
          <w:color w:val="auto"/>
          <w:highlight w:val="none"/>
        </w:rPr>
        <w:br w:type="page" w:clear="all"/>
      </w:r>
      <w:r/>
    </w:p>
    <w:p>
      <w:pPr>
        <w:pStyle w:val="692"/>
        <w:jc w:val="center"/>
        <w:rPr>
          <w:rFonts w:ascii="黑体" w:hAnsi="黑体" w:eastAsia="黑体" w:cs="黑体"/>
          <w:color w:val="auto"/>
          <w:sz w:val="36"/>
          <w:szCs w:val="22"/>
          <w:highlight w:val="none"/>
        </w:rPr>
      </w:pPr>
      <w:r/>
      <w:bookmarkStart w:id="49" w:name="_Toc23969"/>
      <w:r>
        <w:rPr>
          <w:rFonts w:hint="eastAsia" w:ascii="黑体" w:hAnsi="黑体" w:eastAsia="黑体" w:cs="黑体"/>
          <w:color w:val="auto"/>
          <w:sz w:val="36"/>
          <w:szCs w:val="22"/>
          <w:highlight w:val="none"/>
        </w:rPr>
        <w:t xml:space="preserve">第二章  供应商须知</w:t>
      </w:r>
      <w:bookmarkEnd w:id="49"/>
      <w:r/>
      <w:r/>
    </w:p>
    <w:p>
      <w:pPr>
        <w:jc w:val="center"/>
        <w:rPr>
          <w:rFonts w:ascii="黑体" w:hAnsi="黑体" w:eastAsia="黑体" w:cs="黑体"/>
          <w:color w:val="auto"/>
          <w:sz w:val="28"/>
          <w:szCs w:val="36"/>
          <w:highlight w:val="none"/>
        </w:rPr>
      </w:pPr>
      <w:r>
        <w:rPr>
          <w:rFonts w:hint="eastAsia" w:ascii="黑体" w:hAnsi="黑体" w:eastAsia="黑体" w:cs="黑体"/>
          <w:color w:val="auto"/>
          <w:sz w:val="28"/>
          <w:szCs w:val="36"/>
          <w:highlight w:val="none"/>
        </w:rPr>
        <w:t xml:space="preserve">供应商须知前附表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本表是对供应商须知的具体补充和修改，如有矛盾，均以本表为准。标记“☑”的选项意为适用于本项目，标记“☒”的选项意为不适用于本项目。</w:t>
      </w:r>
      <w:r/>
    </w:p>
    <w:tbl>
      <w:tblPr>
        <w:tblStyle w:val="702"/>
        <w:tblW w:w="9599" w:type="dxa"/>
        <w:jc w:val="center"/>
        <w:tblLayout w:type="fixed"/>
        <w:tblCellMar>
          <w:left w:w="108" w:type="dxa"/>
          <w:top w:w="0" w:type="dxa"/>
          <w:right w:w="108" w:type="dxa"/>
          <w:bottom w:w="0" w:type="dxa"/>
        </w:tblCellMar>
        <w:tblLook w:val="04A0" w:firstRow="1" w:lastRow="0" w:firstColumn="1" w:lastColumn="0" w:noHBand="0" w:noVBand="1"/>
      </w:tblPr>
      <w:tblGrid>
        <w:gridCol w:w="1056"/>
        <w:gridCol w:w="1627"/>
        <w:gridCol w:w="6916"/>
      </w:tblGrid>
      <w:tr>
        <w:trPr>
          <w:jc w:val="center"/>
          <w:trHeight w:val="454"/>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b/>
                <w:bCs/>
                <w:color w:val="auto"/>
                <w:sz w:val="23"/>
                <w:szCs w:val="23"/>
                <w:highlight w:val="none"/>
                <w:lang w:val="zh-CN"/>
              </w:rPr>
            </w:pPr>
            <w:r>
              <w:rPr>
                <w:rFonts w:hint="eastAsia" w:ascii="宋体" w:hAnsi="宋体" w:eastAsia="宋体" w:cs="宋体"/>
                <w:b/>
                <w:bCs/>
                <w:color w:val="auto"/>
                <w:sz w:val="23"/>
                <w:szCs w:val="23"/>
                <w:highlight w:val="none"/>
              </w:rPr>
              <w:t xml:space="preserve">条款号</w:t>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条目</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jc w:val="center"/>
              <w:rPr>
                <w:rFonts w:hint="eastAsia" w:ascii="宋体" w:hAnsi="宋体" w:eastAsia="宋体" w:cs="宋体"/>
                <w:b/>
                <w:bCs/>
                <w:color w:val="auto"/>
                <w:sz w:val="23"/>
                <w:szCs w:val="23"/>
                <w:highlight w:val="none"/>
                <w:lang w:val="zh-CN"/>
              </w:rPr>
            </w:pPr>
            <w:r>
              <w:rPr>
                <w:rFonts w:hint="eastAsia" w:ascii="宋体" w:hAnsi="宋体" w:eastAsia="宋体" w:cs="宋体"/>
                <w:b/>
                <w:bCs/>
                <w:color w:val="auto"/>
                <w:sz w:val="23"/>
                <w:szCs w:val="23"/>
                <w:highlight w:val="none"/>
                <w:lang w:val="zh-CN"/>
              </w:rPr>
              <w:t xml:space="preserve">内容</w:t>
            </w:r>
            <w:r/>
          </w:p>
        </w:tc>
      </w:tr>
      <w:tr>
        <w:trPr>
          <w:jc w:val="center"/>
          <w:trHeight w:val="401"/>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2.2</w:t>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color w:val="auto"/>
                <w:sz w:val="23"/>
                <w:szCs w:val="23"/>
                <w:highlight w:val="none"/>
                <w:lang w:val="zh-CN"/>
              </w:rPr>
            </w:pPr>
            <w:r>
              <w:rPr>
                <w:rFonts w:hint="eastAsia" w:ascii="宋体" w:hAnsi="宋体" w:eastAsia="宋体" w:cs="宋体"/>
                <w:color w:val="auto"/>
                <w:sz w:val="23"/>
                <w:szCs w:val="23"/>
                <w:highlight w:val="none"/>
              </w:rPr>
              <w:t xml:space="preserve">项目属性</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w:t>
            </w:r>
            <w:r>
              <w:rPr>
                <w:rFonts w:hint="eastAsia" w:ascii="宋体" w:hAnsi="宋体" w:eastAsia="宋体" w:cs="宋体"/>
                <w:b/>
                <w:bCs/>
                <w:color w:val="auto"/>
                <w:sz w:val="23"/>
                <w:szCs w:val="23"/>
                <w:highlight w:val="none"/>
              </w:rPr>
              <w:t xml:space="preserve">☑</w:t>
            </w:r>
            <w:r>
              <w:rPr>
                <w:rFonts w:hint="eastAsia" w:ascii="宋体" w:hAnsi="宋体" w:eastAsia="宋体" w:cs="宋体"/>
                <w:color w:val="auto"/>
                <w:sz w:val="23"/>
                <w:szCs w:val="23"/>
                <w:highlight w:val="none"/>
              </w:rPr>
              <w:t xml:space="preserve">服务    ☒货物   ☒工程</w:t>
            </w:r>
            <w:r/>
          </w:p>
        </w:tc>
      </w:tr>
      <w:tr>
        <w:trPr>
          <w:jc w:val="center"/>
          <w:trHeight w:val="674"/>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zh-CN"/>
              </w:rPr>
              <w:t xml:space="preserve">2.3</w:t>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科研仪器设备</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是否属于科研仪器设备采购项目：</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☒是     </w:t>
            </w:r>
            <w:r>
              <w:rPr>
                <w:rFonts w:hint="eastAsia" w:ascii="宋体" w:hAnsi="宋体" w:eastAsia="宋体" w:cs="宋体"/>
                <w:b/>
                <w:bCs/>
                <w:color w:val="auto"/>
                <w:sz w:val="23"/>
                <w:szCs w:val="23"/>
                <w:highlight w:val="none"/>
              </w:rPr>
              <w:t xml:space="preserve">☑否</w:t>
            </w:r>
            <w:r/>
          </w:p>
        </w:tc>
      </w:tr>
      <w:tr>
        <w:trPr>
          <w:jc w:val="center"/>
          <w:trHeight w:val="90"/>
        </w:trPr>
        <w:tc>
          <w:tcPr>
            <w:shd w:val="clear" w:color="000000" w:fill="ffffff"/>
            <w:tcBorders>
              <w:top w:val="single" w:color="000000" w:sz="2" w:space="0"/>
              <w:left w:val="single" w:color="000000" w:sz="2" w:space="0"/>
              <w:right w:val="single" w:color="000000" w:sz="2" w:space="0"/>
            </w:tcBorders>
            <w:tcW w:w="1056" w:type="dxa"/>
            <w:vAlign w:val="center"/>
            <w:vMerge w:val="restart"/>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3.1</w:t>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现场考察</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☑不组织，可自行考察、踏勘</w:t>
            </w:r>
            <w:r/>
          </w:p>
          <w:p>
            <w:pPr>
              <w:rPr>
                <w:rFonts w:hint="eastAsia" w:ascii="宋体" w:hAnsi="宋体" w:eastAsia="宋体" w:cs="宋体"/>
                <w:color w:val="auto"/>
                <w:sz w:val="23"/>
                <w:szCs w:val="23"/>
                <w:highlight w:val="none"/>
                <w:lang w:val="zh-CN"/>
              </w:rPr>
            </w:pPr>
            <w:r>
              <w:rPr>
                <w:rFonts w:hint="eastAsia" w:ascii="宋体" w:hAnsi="宋体" w:eastAsia="宋体" w:cs="宋体"/>
                <w:color w:val="auto"/>
                <w:sz w:val="23"/>
                <w:szCs w:val="23"/>
                <w:highlight w:val="none"/>
              </w:rPr>
              <w:t xml:space="preserve">☒组织，时间：</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年</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月</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日</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点</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分，考察地点：</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w:t>
            </w:r>
            <w:r/>
          </w:p>
        </w:tc>
      </w:tr>
      <w:tr>
        <w:trPr>
          <w:jc w:val="center"/>
          <w:trHeight w:val="422"/>
        </w:trPr>
        <w:tc>
          <w:tcPr>
            <w:shd w:val="clear" w:color="000000" w:fill="ffffff"/>
            <w:tcBorders>
              <w:left w:val="single" w:color="000000" w:sz="2" w:space="0"/>
              <w:bottom w:val="single" w:color="000000" w:sz="2" w:space="0"/>
              <w:right w:val="single" w:color="000000" w:sz="2" w:space="0"/>
            </w:tcBorders>
            <w:tcW w:w="1056" w:type="dxa"/>
            <w:vAlign w:val="center"/>
            <w:vMerge w:val="continue"/>
            <w:textDirection w:val="lrTb"/>
            <w:noWrap w:val="false"/>
          </w:tcPr>
          <w:p>
            <w:pPr>
              <w:jc w:val="center"/>
              <w:rPr>
                <w:rFonts w:hint="eastAsia" w:ascii="宋体" w:hAnsi="宋体" w:eastAsia="宋体" w:cs="宋体"/>
                <w:color w:val="auto"/>
                <w:sz w:val="23"/>
                <w:szCs w:val="23"/>
                <w:highlight w:val="none"/>
                <w:lang w:val="zh-CN"/>
              </w:rPr>
            </w:pPr>
            <w:r>
              <w:rPr>
                <w:rFonts w:hint="eastAsia" w:ascii="宋体" w:hAnsi="宋体" w:eastAsia="宋体" w:cs="宋体"/>
                <w:color w:val="auto"/>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磋商前答疑会</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☑不召开</w:t>
            </w:r>
            <w:r/>
          </w:p>
          <w:p>
            <w:pPr>
              <w:rPr>
                <w:rFonts w:hint="eastAsia" w:ascii="宋体" w:hAnsi="宋体" w:eastAsia="宋体" w:cs="宋体"/>
                <w:color w:val="auto"/>
                <w:sz w:val="23"/>
                <w:szCs w:val="23"/>
                <w:highlight w:val="none"/>
                <w:lang w:val="zh-CN"/>
              </w:rPr>
            </w:pPr>
            <w:r>
              <w:rPr>
                <w:rFonts w:hint="eastAsia" w:ascii="宋体" w:hAnsi="宋体" w:eastAsia="宋体" w:cs="宋体"/>
                <w:color w:val="auto"/>
                <w:sz w:val="23"/>
                <w:szCs w:val="23"/>
                <w:highlight w:val="none"/>
              </w:rPr>
              <w:t xml:space="preserve">☒召开，时间：</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年</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月</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日</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点</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分，召开地点：</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w:t>
            </w:r>
            <w:r/>
          </w:p>
        </w:tc>
      </w:tr>
      <w:tr>
        <w:trPr>
          <w:jc w:val="center"/>
          <w:trHeight w:val="1023"/>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4.2.5</w:t>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color w:val="auto"/>
                <w:sz w:val="23"/>
                <w:szCs w:val="23"/>
                <w:highlight w:val="none"/>
                <w:lang w:val="zh-CN"/>
              </w:rPr>
            </w:pPr>
            <w:r>
              <w:rPr>
                <w:rFonts w:hint="eastAsia" w:ascii="宋体" w:hAnsi="宋体" w:eastAsia="宋体" w:cs="宋体"/>
                <w:color w:val="auto"/>
                <w:sz w:val="23"/>
                <w:szCs w:val="23"/>
                <w:highlight w:val="none"/>
              </w:rPr>
              <w:t xml:space="preserve">标的所属行业</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本项目采购标的对应的中小企业划分标准所属行业：</w:t>
            </w:r>
            <w:r>
              <w:rPr>
                <w:rFonts w:hint="eastAsia" w:ascii="宋体" w:hAnsi="宋体" w:eastAsia="宋体" w:cs="宋体"/>
                <w:b/>
                <w:bCs/>
                <w:color w:val="auto"/>
                <w:sz w:val="23"/>
                <w:szCs w:val="23"/>
                <w:highlight w:val="none"/>
                <w:u w:val="single"/>
              </w:rPr>
              <w:t xml:space="preserve">其他未列明行业。</w:t>
            </w:r>
            <w:r/>
          </w:p>
        </w:tc>
      </w:tr>
      <w:tr>
        <w:trPr>
          <w:jc w:val="center"/>
          <w:trHeight w:val="1311"/>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10.2</w:t>
            </w:r>
            <w:r/>
          </w:p>
          <w:p>
            <w:pPr>
              <w:jc w:val="center"/>
              <w:rPr>
                <w:rFonts w:hint="eastAsia" w:ascii="宋体" w:hAnsi="宋体" w:eastAsia="宋体" w:cs="宋体"/>
                <w:color w:val="auto"/>
                <w:sz w:val="23"/>
                <w:szCs w:val="23"/>
                <w:highlight w:val="none"/>
                <w:lang w:val="zh-CN"/>
              </w:rPr>
            </w:pPr>
            <w:r>
              <w:rPr>
                <w:rFonts w:hint="eastAsia" w:ascii="宋体" w:hAnsi="宋体" w:eastAsia="宋体" w:cs="宋体"/>
                <w:color w:val="auto"/>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color w:val="auto"/>
                <w:sz w:val="23"/>
                <w:szCs w:val="23"/>
                <w:highlight w:val="none"/>
                <w:lang w:val="zh-CN"/>
              </w:rPr>
            </w:pPr>
            <w:r>
              <w:rPr>
                <w:rFonts w:hint="eastAsia" w:ascii="宋体" w:hAnsi="宋体" w:eastAsia="宋体" w:cs="宋体"/>
                <w:color w:val="auto"/>
                <w:sz w:val="23"/>
                <w:szCs w:val="23"/>
                <w:highlight w:val="none"/>
              </w:rPr>
              <w:t xml:space="preserve">报价</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报价的特殊规定：</w:t>
            </w:r>
            <w:r/>
          </w:p>
          <w:p>
            <w:pPr>
              <w:rPr>
                <w:rFonts w:hint="eastAsia" w:ascii="宋体" w:hAnsi="宋体" w:eastAsia="宋体" w:cs="宋体"/>
                <w:b/>
                <w:bCs/>
                <w:color w:val="auto"/>
                <w:sz w:val="23"/>
                <w:szCs w:val="23"/>
                <w:highlight w:val="none"/>
              </w:rPr>
            </w:pPr>
            <w:r>
              <w:rPr>
                <w:rFonts w:hint="eastAsia" w:ascii="宋体" w:hAnsi="宋体" w:eastAsia="宋体" w:cs="宋体"/>
                <w:color w:val="auto"/>
                <w:sz w:val="23"/>
                <w:szCs w:val="23"/>
                <w:highlight w:val="none"/>
              </w:rPr>
              <w:t xml:space="preserve">☒无</w:t>
            </w:r>
            <w:r/>
          </w:p>
          <w:p>
            <w:pPr>
              <w:rPr>
                <w:rFonts w:hint="eastAsia" w:ascii="宋体" w:hAnsi="宋体" w:eastAsia="宋体" w:cs="宋体"/>
                <w:color w:val="auto"/>
                <w:sz w:val="23"/>
                <w:szCs w:val="23"/>
                <w:highlight w:val="none"/>
                <w:lang w:val="zh-CN"/>
              </w:rPr>
            </w:pPr>
            <w:r>
              <w:rPr>
                <w:rFonts w:hint="eastAsia" w:ascii="宋体" w:hAnsi="宋体" w:eastAsia="宋体" w:cs="宋体"/>
                <w:b/>
                <w:bCs/>
                <w:color w:val="auto"/>
                <w:sz w:val="23"/>
                <w:szCs w:val="23"/>
                <w:highlight w:val="none"/>
              </w:rPr>
              <w:t xml:space="preserve">☑有，具体情形：</w:t>
            </w:r>
            <w:r>
              <w:rPr>
                <w:rFonts w:hint="eastAsia" w:ascii="宋体" w:hAnsi="宋体" w:eastAsia="宋体" w:cs="宋体"/>
                <w:color w:val="auto"/>
                <w:sz w:val="23"/>
                <w:szCs w:val="23"/>
                <w:highlight w:val="none"/>
                <w:u w:val="single"/>
              </w:rPr>
              <w:t xml:space="preserve">首次报价或最后报价低于控制价的为无效报价，按照无效响应文件处理。</w:t>
            </w: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w:t>
            </w:r>
            <w:r/>
          </w:p>
        </w:tc>
        <w:tc>
          <w:tcPr>
            <w:shd w:val="clear" w:color="000000" w:fill="ffffff"/>
            <w:tcBorders>
              <w:top w:val="single" w:color="000000" w:sz="2" w:space="0"/>
              <w:left w:val="single" w:color="000000" w:sz="2" w:space="0"/>
              <w:right w:val="single" w:color="000000" w:sz="2" w:space="0"/>
            </w:tcBorders>
            <w:tcW w:w="1627" w:type="dxa"/>
            <w:vAlign w:val="center"/>
            <w:vMerge w:val="restart"/>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磋商保证金</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☒有，磋商保证金金额：</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01包：</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…包： </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保证金收受人信息：</w:t>
            </w:r>
            <w:r>
              <w:rPr>
                <w:rFonts w:hint="eastAsia" w:ascii="宋体" w:hAnsi="宋体" w:eastAsia="宋体" w:cs="宋体"/>
                <w:color w:val="auto"/>
                <w:sz w:val="23"/>
                <w:szCs w:val="23"/>
                <w:highlight w:val="none"/>
                <w:u w:val="single"/>
              </w:rPr>
              <w:t xml:space="preserve">    /     。</w:t>
            </w:r>
            <w:r/>
          </w:p>
          <w:p>
            <w:pPr>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 xml:space="preserve">☑无，关于磋商保证金条款取消</w:t>
            </w:r>
            <w:r/>
          </w:p>
        </w:tc>
      </w:tr>
      <w:tr>
        <w:trPr>
          <w:jc w:val="center"/>
          <w:trHeight w:val="361"/>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11.7.5</w:t>
            </w:r>
            <w:r/>
          </w:p>
        </w:tc>
        <w:tc>
          <w:tcPr>
            <w:shd w:val="clear" w:color="000000" w:fill="ffffff"/>
            <w:tcBorders>
              <w:left w:val="single" w:color="000000" w:sz="2" w:space="0"/>
              <w:bottom w:val="single" w:color="000000" w:sz="2" w:space="0"/>
              <w:right w:val="single" w:color="000000" w:sz="2" w:space="0"/>
            </w:tcBorders>
            <w:tcW w:w="1627" w:type="dxa"/>
            <w:vAlign w:val="center"/>
            <w:vMerge w:val="continue"/>
            <w:textDirection w:val="lrTb"/>
            <w:noWrap w:val="false"/>
          </w:tcPr>
          <w:p>
            <w:pPr>
              <w:jc w:val="center"/>
              <w:rPr>
                <w:rFonts w:hint="eastAsia" w:ascii="宋体" w:hAnsi="宋体" w:eastAsia="宋体" w:cs="宋体"/>
                <w:color w:val="auto"/>
                <w:sz w:val="23"/>
                <w:szCs w:val="23"/>
                <w:highlight w:val="none"/>
                <w:lang w:val="zh-CN"/>
              </w:rPr>
            </w:pPr>
            <w:r>
              <w:rPr>
                <w:rFonts w:hint="eastAsia" w:ascii="宋体" w:hAnsi="宋体" w:eastAsia="宋体" w:cs="宋体"/>
                <w:color w:val="auto"/>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磋商保证金可以不予退还的其他情形：</w:t>
            </w:r>
            <w:r/>
          </w:p>
          <w:p>
            <w:pPr>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☑无</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☒有，具体情形：</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w:t>
            </w: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color w:val="auto"/>
                <w:sz w:val="23"/>
                <w:szCs w:val="23"/>
                <w:highlight w:val="none"/>
                <w:lang w:val="zh-CN"/>
              </w:rPr>
            </w:pPr>
            <w:r>
              <w:rPr>
                <w:rFonts w:hint="eastAsia" w:ascii="宋体" w:hAnsi="宋体" w:eastAsia="宋体" w:cs="宋体"/>
                <w:color w:val="auto"/>
                <w:sz w:val="23"/>
                <w:szCs w:val="23"/>
                <w:highlight w:val="none"/>
              </w:rPr>
              <w:t xml:space="preserve">12.1</w:t>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响应有效期</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rPr>
                <w:rFonts w:hint="eastAsia" w:ascii="宋体" w:hAnsi="宋体" w:eastAsia="宋体" w:cs="宋体"/>
                <w:color w:val="auto"/>
                <w:sz w:val="23"/>
                <w:szCs w:val="23"/>
                <w:highlight w:val="none"/>
                <w:lang w:val="zh-CN"/>
              </w:rPr>
            </w:pPr>
            <w:r>
              <w:rPr>
                <w:rFonts w:hint="eastAsia" w:ascii="宋体" w:hAnsi="宋体" w:eastAsia="宋体" w:cs="宋体"/>
                <w:color w:val="auto"/>
                <w:sz w:val="23"/>
                <w:szCs w:val="23"/>
                <w:highlight w:val="none"/>
              </w:rPr>
              <w:t xml:space="preserve">自响应文件提交截止之日起算</w:t>
            </w:r>
            <w:r>
              <w:rPr>
                <w:rFonts w:hint="eastAsia" w:ascii="宋体" w:hAnsi="宋体" w:eastAsia="宋体" w:cs="宋体"/>
                <w:color w:val="auto"/>
                <w:sz w:val="23"/>
                <w:szCs w:val="23"/>
                <w:highlight w:val="none"/>
                <w:u w:val="single"/>
              </w:rPr>
              <w:t xml:space="preserve">90</w:t>
            </w:r>
            <w:r>
              <w:rPr>
                <w:rFonts w:hint="eastAsia" w:ascii="宋体" w:hAnsi="宋体" w:eastAsia="宋体" w:cs="宋体"/>
                <w:color w:val="auto"/>
                <w:sz w:val="23"/>
                <w:szCs w:val="23"/>
                <w:highlight w:val="none"/>
              </w:rPr>
              <w:t xml:space="preserve">日历天。</w:t>
            </w: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20.1</w:t>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确定成交供应商</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采购人是否授权磋商小组确定成交供应商：</w:t>
            </w:r>
            <w:r/>
          </w:p>
          <w:p>
            <w:pPr>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☑否</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☒是</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成交候选人并列的，按照以下方式确定成交供应商：</w:t>
            </w:r>
            <w:r/>
          </w:p>
          <w:p>
            <w:pPr>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☑评审得分相同的，按照最后报价由低到高的顺序推荐。评审得分且最后报价相同的，按照技术指标（方案）优劣顺序推荐。</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☒随机抽取</w:t>
            </w: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23.5</w:t>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分包</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本项目是否允许分包：</w:t>
            </w:r>
            <w:r/>
          </w:p>
          <w:p>
            <w:pPr>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☑不允许</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☒允许，具体要求：</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（1）可以分包履行的具体内容：</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（2）允许分包的金额或者比例：</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（3）其他要求：</w:t>
            </w:r>
            <w:r>
              <w:rPr>
                <w:rFonts w:hint="eastAsia" w:ascii="宋体" w:hAnsi="宋体" w:eastAsia="宋体" w:cs="宋体"/>
                <w:color w:val="auto"/>
                <w:sz w:val="23"/>
                <w:szCs w:val="23"/>
                <w:highlight w:val="none"/>
                <w:u w:val="single"/>
              </w:rPr>
              <w:t xml:space="preserve">  /   </w:t>
            </w:r>
            <w:r>
              <w:rPr>
                <w:rFonts w:hint="eastAsia" w:ascii="宋体" w:hAnsi="宋体" w:eastAsia="宋体" w:cs="宋体"/>
                <w:color w:val="auto"/>
                <w:sz w:val="23"/>
                <w:szCs w:val="23"/>
                <w:highlight w:val="none"/>
              </w:rPr>
              <w:t xml:space="preserve">。</w:t>
            </w:r>
            <w:r/>
          </w:p>
        </w:tc>
      </w:tr>
      <w:tr>
        <w:trPr>
          <w:jc w:val="center"/>
          <w:trHeight w:val="90"/>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color w:val="auto"/>
                <w:sz w:val="23"/>
                <w:szCs w:val="23"/>
                <w:highlight w:val="none"/>
                <w:lang w:val="zh-CN"/>
              </w:rPr>
            </w:pPr>
            <w:r>
              <w:rPr>
                <w:rFonts w:hint="eastAsia" w:ascii="宋体" w:hAnsi="宋体" w:eastAsia="宋体" w:cs="宋体"/>
                <w:color w:val="auto"/>
                <w:sz w:val="23"/>
                <w:szCs w:val="23"/>
                <w:highlight w:val="none"/>
              </w:rPr>
              <w:t xml:space="preserve">24.1.1</w:t>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询问</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询问送达形式：</w:t>
            </w:r>
            <w:r>
              <w:rPr>
                <w:rFonts w:hint="eastAsia" w:ascii="宋体" w:hAnsi="宋体" w:eastAsia="宋体" w:cs="宋体"/>
                <w:color w:val="auto"/>
                <w:sz w:val="23"/>
                <w:szCs w:val="23"/>
                <w:highlight w:val="none"/>
                <w:u w:val="single"/>
              </w:rPr>
              <w:t xml:space="preserve">书面 。</w:t>
            </w:r>
            <w:r/>
          </w:p>
        </w:tc>
      </w:tr>
      <w:tr>
        <w:trPr>
          <w:jc w:val="center"/>
          <w:trHeight w:val="1406"/>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24.3</w:t>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接受询问和质疑的联系方式</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接受询问和质疑的联系方式</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联系部门：</w:t>
            </w:r>
            <w:r>
              <w:rPr>
                <w:rFonts w:hint="eastAsia" w:ascii="宋体" w:hAnsi="宋体" w:eastAsia="宋体" w:cs="宋体"/>
                <w:b/>
                <w:bCs/>
                <w:color w:val="auto"/>
                <w:sz w:val="23"/>
                <w:szCs w:val="23"/>
                <w:highlight w:val="none"/>
                <w:u w:val="single"/>
              </w:rPr>
              <w:t xml:space="preserve">招标代理机构</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联系电话：</w:t>
            </w:r>
            <w:r>
              <w:rPr>
                <w:rFonts w:hint="eastAsia" w:ascii="宋体" w:hAnsi="宋体" w:eastAsia="宋体" w:cs="宋体"/>
                <w:b/>
                <w:bCs/>
                <w:color w:val="auto"/>
                <w:sz w:val="23"/>
                <w:szCs w:val="23"/>
                <w:highlight w:val="none"/>
                <w:u w:val="single"/>
              </w:rPr>
              <w:t xml:space="preserve">15261039235</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通讯地址：</w:t>
            </w:r>
            <w:r>
              <w:rPr>
                <w:rFonts w:hint="eastAsia" w:ascii="宋体" w:hAnsi="宋体" w:eastAsia="宋体" w:cs="宋体"/>
                <w:b/>
                <w:bCs/>
                <w:color w:val="auto"/>
                <w:sz w:val="23"/>
                <w:szCs w:val="23"/>
                <w:highlight w:val="none"/>
                <w:u w:val="single"/>
              </w:rPr>
              <w:t xml:space="preserve">靖江市滨江国际商务中心B座7楼</w:t>
            </w:r>
            <w:r/>
          </w:p>
        </w:tc>
      </w:tr>
      <w:tr>
        <w:trPr>
          <w:jc w:val="center"/>
          <w:trHeight w:val="1040"/>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25</w:t>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代理费</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收费对象：☒ 采购人      </w:t>
            </w:r>
            <w:r>
              <w:rPr>
                <w:rFonts w:hint="eastAsia" w:ascii="宋体" w:hAnsi="宋体" w:eastAsia="宋体" w:cs="宋体"/>
                <w:b/>
                <w:bCs/>
                <w:color w:val="auto"/>
                <w:sz w:val="23"/>
                <w:szCs w:val="23"/>
                <w:highlight w:val="none"/>
              </w:rPr>
              <w:t xml:space="preserve">☑ 中标人（成交供应商）</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收费标准：</w:t>
            </w:r>
            <w:r>
              <w:rPr>
                <w:rFonts w:hint="eastAsia" w:ascii="宋体" w:hAnsi="宋体" w:eastAsia="宋体" w:cs="宋体"/>
                <w:b/>
                <w:bCs/>
                <w:color w:val="auto"/>
                <w:sz w:val="23"/>
                <w:szCs w:val="23"/>
                <w:highlight w:val="none"/>
                <w:u w:val="single"/>
                <w:lang w:val="en-US" w:eastAsia="zh-CN"/>
              </w:rPr>
              <w:t xml:space="preserve">按</w:t>
            </w:r>
            <w:r>
              <w:rPr>
                <w:rFonts w:hint="eastAsia" w:ascii="宋体" w:hAnsi="宋体" w:eastAsia="宋体" w:cs="宋体"/>
                <w:b/>
                <w:bCs/>
                <w:color w:val="auto"/>
                <w:sz w:val="23"/>
                <w:szCs w:val="23"/>
                <w:highlight w:val="none"/>
                <w:u w:val="single"/>
              </w:rPr>
              <w:t xml:space="preserve">《招标代理服务收费管理暂行办法》计价格[2002]1980号文和发改价格[2011</w:t>
            </w:r>
            <w:r>
              <w:rPr>
                <w:rFonts w:hint="eastAsia" w:ascii="宋体" w:hAnsi="宋体" w:eastAsia="宋体" w:cs="宋体"/>
                <w:b/>
                <w:bCs/>
                <w:color w:val="auto"/>
                <w:sz w:val="23"/>
                <w:szCs w:val="23"/>
                <w:highlight w:val="none"/>
                <w:u w:val="single"/>
                <w:lang w:val="en-US" w:eastAsia="zh-CN"/>
              </w:rPr>
              <w:t xml:space="preserve">]</w:t>
            </w:r>
            <w:r>
              <w:rPr>
                <w:rFonts w:hint="eastAsia" w:ascii="宋体" w:hAnsi="宋体" w:eastAsia="宋体" w:cs="宋体"/>
                <w:b/>
                <w:bCs/>
                <w:color w:val="auto"/>
                <w:sz w:val="23"/>
                <w:szCs w:val="23"/>
                <w:highlight w:val="none"/>
                <w:u w:val="single"/>
              </w:rPr>
              <w:t xml:space="preserve">534号文件收费标准的50%计取</w:t>
            </w:r>
            <w:r>
              <w:rPr>
                <w:rFonts w:hint="eastAsia" w:ascii="宋体" w:hAnsi="宋体" w:eastAsia="宋体" w:cs="宋体"/>
                <w:color w:val="auto"/>
                <w:sz w:val="23"/>
                <w:szCs w:val="23"/>
                <w:highlight w:val="none"/>
              </w:rPr>
              <w:t xml:space="preserve">；</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缴纳时间：</w:t>
            </w:r>
            <w:r>
              <w:rPr>
                <w:rFonts w:hint="eastAsia" w:ascii="宋体" w:hAnsi="宋体" w:eastAsia="宋体" w:cs="宋体"/>
                <w:b/>
                <w:bCs/>
                <w:color w:val="auto"/>
                <w:sz w:val="23"/>
                <w:szCs w:val="23"/>
                <w:highlight w:val="none"/>
                <w:u w:val="single"/>
              </w:rPr>
              <w:t xml:space="preserve">领取中标（成交）通知书前。</w:t>
            </w:r>
            <w:r/>
          </w:p>
        </w:tc>
      </w:tr>
      <w:tr>
        <w:trPr>
          <w:jc w:val="center"/>
          <w:trHeight w:val="3380"/>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26</w:t>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响应文件要求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pStyle w:val="914"/>
              <w:ind w:firstLine="0"/>
              <w:spacing w:line="24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1.响应文件形式：</w:t>
            </w:r>
            <w:r/>
          </w:p>
          <w:p>
            <w:pPr>
              <w:pStyle w:val="914"/>
              <w:ind w:firstLine="404"/>
              <w:jc w:val="left"/>
              <w:spacing w:line="240" w:lineRule="auto"/>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 xml:space="preserve">☑电子形式，响应文件提交至电子交易平台。</w:t>
            </w:r>
            <w:r>
              <w:rPr>
                <w:rFonts w:hint="eastAsia" w:ascii="宋体" w:hAnsi="宋体" w:eastAsia="宋体" w:cs="宋体"/>
                <w:color w:val="auto"/>
                <w:sz w:val="24"/>
                <w:highlight w:val="none"/>
              </w:rPr>
              <w:t xml:space="preserve">供应商通过“苏采云”系统不见面开标大厅在线参与开标活动。</w:t>
            </w:r>
            <w:r>
              <w:rPr>
                <w:rFonts w:hint="eastAsia" w:ascii="宋体" w:hAnsi="宋体" w:eastAsia="宋体" w:cs="宋体"/>
                <w:b/>
                <w:bCs/>
                <w:color w:val="auto"/>
                <w:sz w:val="24"/>
                <w:highlight w:val="none"/>
              </w:rPr>
              <w:t xml:space="preserve">（具体操作详见《“苏采云”系统供应商操作手册》，网址链接http://www.ccgp-jiangsu.gov.cn//webfile/jiangsu/202311/1699268553318052447.pdf）</w:t>
            </w:r>
            <w:r/>
          </w:p>
          <w:p>
            <w:pPr>
              <w:pStyle w:val="914"/>
              <w:ind w:firstLine="402"/>
              <w:spacing w:line="24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纸质形式及电子版，纸质响应文件份数：1份正本，2份副本；电子版1份：为全套签字盖章的纸质响应文件正本的扫描件（非加密PDF格式）拷贝至U盘或光盘中，随纸质响应文件一并递交，上述响应文件、U盘或光盘均不退还。</w:t>
            </w:r>
            <w:r/>
          </w:p>
        </w:tc>
      </w:tr>
      <w:tr>
        <w:trPr>
          <w:jc w:val="center"/>
          <w:trHeight w:val="542"/>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27</w:t>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注意事项</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pStyle w:val="914"/>
              <w:ind w:firstLine="0"/>
              <w:spacing w:line="24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本项目通过“苏采云”系统进行电子采购，即供应商响应文件从政府采购客户端工具制作并通过“苏采云”系统提交。</w:t>
            </w:r>
            <w:r/>
          </w:p>
          <w:p>
            <w:pPr>
              <w:pStyle w:val="914"/>
              <w:ind w:firstLine="0"/>
              <w:spacing w:line="24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供应商应当通过“苏采云”系统提交数据电文形式的响应文件（即电子投标）。未进行线上响应文件提交并解密（因“苏采云”系统导致解密失败的除外）的供应商，响应无效。</w:t>
            </w:r>
            <w:r/>
          </w:p>
          <w:p>
            <w:pPr>
              <w:pStyle w:val="914"/>
              <w:ind w:firstLine="0"/>
              <w:spacing w:line="24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“CA数字证书”的获取：供应商需办理方正CA锁，网址</w:t>
            </w:r>
            <w:r/>
          </w:p>
          <w:p>
            <w:pPr>
              <w:pStyle w:val="914"/>
              <w:ind w:firstLine="0"/>
              <w:spacing w:line="24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http://www.ccgp-jiangsu.gov.cn/jiangsu/zlxz/ee/ee3a4bc5a3454aa2b0d9312230633ce9.html。</w:t>
            </w:r>
            <w:r/>
          </w:p>
          <w:p>
            <w:pPr>
              <w:pStyle w:val="914"/>
              <w:ind w:firstLine="0"/>
              <w:spacing w:line="24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使用需要第三方认证的电子签名、数据电文，通过互联网方式提交首次响应文件。使用“电子签名认证证书（CA数字证书）”登录“苏采云”系统（网址：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 xml:space="preserve">http://jszfcg.jsczt.cn/</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 xml:space="preserve">），按照要求通过互联网方式提交首次响应文件。</w:t>
            </w:r>
            <w:r/>
          </w:p>
          <w:p>
            <w:pPr>
              <w:pStyle w:val="914"/>
              <w:ind w:firstLine="0"/>
              <w:spacing w:line="24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本项目为全流程电子化，所有环节均在“苏采云”系统进行。请各供应商及时关注，</w:t>
            </w:r>
            <w:r>
              <w:rPr>
                <w:rFonts w:hint="eastAsia" w:ascii="宋体" w:hAnsi="宋体" w:eastAsia="宋体" w:cs="宋体"/>
                <w:color w:val="auto"/>
                <w:sz w:val="24"/>
                <w:highlight w:val="none"/>
              </w:rPr>
              <w:t xml:space="preserve">且保持电话畅通。</w:t>
            </w:r>
            <w:r>
              <w:rPr>
                <w:rFonts w:hint="eastAsia" w:ascii="宋体" w:hAnsi="宋体" w:eastAsia="宋体" w:cs="宋体"/>
                <w:color w:val="auto"/>
                <w:sz w:val="23"/>
                <w:szCs w:val="23"/>
                <w:highlight w:val="none"/>
              </w:rPr>
              <w:t xml:space="preserve">未按“苏采云”系统平台发起的流程进行操作，</w:t>
            </w:r>
            <w:r>
              <w:rPr>
                <w:rFonts w:hint="eastAsia" w:ascii="宋体" w:hAnsi="宋体" w:eastAsia="宋体" w:cs="宋体"/>
                <w:color w:val="auto"/>
                <w:sz w:val="24"/>
                <w:highlight w:val="none"/>
              </w:rPr>
              <w:t xml:space="preserve">将自行承担所产生的风险。</w:t>
            </w:r>
            <w:r/>
          </w:p>
          <w:p>
            <w:pPr>
              <w:pStyle w:val="914"/>
              <w:ind w:firstLine="0"/>
              <w:spacing w:line="24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“苏采云”系统使用要求：</w:t>
            </w:r>
            <w:r/>
          </w:p>
          <w:p>
            <w:pPr>
              <w:pStyle w:val="914"/>
              <w:ind w:firstLine="0"/>
              <w:spacing w:line="24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使用谷歌浏览器参与不见面开标及磋商环节。</w:t>
            </w:r>
            <w:r/>
          </w:p>
          <w:p>
            <w:pPr>
              <w:pStyle w:val="914"/>
              <w:ind w:firstLine="0"/>
              <w:spacing w:line="24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电脑需提前准备好麦克风、音响、摄像头，提前检查保证能够正常使用。</w:t>
            </w:r>
            <w:r/>
          </w:p>
          <w:p>
            <w:pPr>
              <w:pStyle w:val="914"/>
              <w:ind w:firstLine="0"/>
              <w:spacing w:line="24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操作系统至少win7，建议使用win10操作系统。</w:t>
            </w:r>
            <w:r/>
          </w:p>
          <w:p>
            <w:pPr>
              <w:pStyle w:val="914"/>
              <w:ind w:firstLine="0"/>
              <w:spacing w:line="24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在截止时间后提交的响应文件为无效文件，将被拒收。</w:t>
            </w:r>
            <w:r/>
          </w:p>
        </w:tc>
      </w:tr>
      <w:tr>
        <w:trPr>
          <w:jc w:val="center"/>
          <w:trHeight w:val="1259"/>
        </w:trPr>
        <w:tc>
          <w:tcPr>
            <w:shd w:val="clear" w:color="000000" w:fill="ffffff"/>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违法行为处理</w:t>
            </w:r>
            <w:r/>
          </w:p>
        </w:tc>
        <w:tc>
          <w:tcPr>
            <w:shd w:val="clear" w:color="000000" w:fill="ffffff"/>
            <w:tcBorders>
              <w:top w:val="single" w:color="000000" w:sz="2" w:space="0"/>
              <w:left w:val="single" w:color="000000" w:sz="2" w:space="0"/>
              <w:bottom w:val="single" w:color="000000" w:sz="2" w:space="0"/>
              <w:right w:val="single" w:color="000000" w:sz="2" w:space="0"/>
            </w:tcBorders>
            <w:tcW w:w="6916" w:type="dxa"/>
            <w:vAlign w:val="center"/>
            <w:textDirection w:val="lrTb"/>
            <w:noWrap w:val="false"/>
          </w:tcPr>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如在采购各环节中出现供应商提供虚假材料谋取成交等违法行为，相关情形将被上报财政部门，并按政府采购相关规定处理。</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（一）提供虚假材料谋取中标、成交的；</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（二）采取不正当手段诋毁、排挤其他供应商的；</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（三）与采购人、其他供应商或者采购代理机构恶意串通的；</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（四）向采购人、采购代理机构行贿或者提供其他不正当利益的；</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（五）在招标采购过程中与采购人进行协商谈判的：</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（六）拒绝有关部门监督检查或者提供虚假情况的。</w:t>
            </w:r>
            <w:r/>
          </w:p>
          <w:p>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供应商有前款第（一）至（五）项情形之一的，中标、成交无效。</w:t>
            </w:r>
            <w:r/>
          </w:p>
        </w:tc>
      </w:tr>
    </w:tbl>
    <w:p>
      <w:pPr>
        <w:jc w:val="center"/>
        <w:spacing w:after="120" w:line="320" w:lineRule="exact"/>
        <w:rPr>
          <w:rFonts w:ascii="宋体" w:hAnsi="宋体"/>
          <w:bCs/>
          <w:color w:val="auto"/>
          <w:sz w:val="24"/>
          <w:highlight w:val="none"/>
        </w:rPr>
      </w:pPr>
      <w:r>
        <w:rPr>
          <w:color w:val="auto"/>
          <w:highlight w:val="none"/>
        </w:rPr>
        <w:br w:type="page" w:clear="all"/>
      </w:r>
      <w:r/>
    </w:p>
    <w:p>
      <w:pPr>
        <w:jc w:val="center"/>
        <w:spacing w:line="332" w:lineRule="auto"/>
        <w:rPr>
          <w:rFonts w:ascii="黑体" w:hAnsi="黑体" w:eastAsia="黑体" w:cs="黑体"/>
          <w:color w:val="auto"/>
          <w:sz w:val="28"/>
          <w:szCs w:val="28"/>
          <w:highlight w:val="none"/>
        </w:rPr>
        <w:outlineLvl w:val="1"/>
      </w:pPr>
      <w:r/>
      <w:bookmarkStart w:id="50" w:name="_Toc2430"/>
      <w:r>
        <w:rPr>
          <w:rFonts w:hint="eastAsia" w:ascii="黑体" w:hAnsi="黑体" w:eastAsia="黑体" w:cs="黑体"/>
          <w:color w:val="auto"/>
          <w:sz w:val="28"/>
          <w:szCs w:val="28"/>
          <w:highlight w:val="none"/>
        </w:rPr>
        <w:t xml:space="preserve">供应商须知</w:t>
      </w:r>
      <w:bookmarkEnd w:id="50"/>
      <w:r/>
      <w:r/>
    </w:p>
    <w:p>
      <w:pPr>
        <w:jc w:val="center"/>
        <w:spacing w:line="332" w:lineRule="auto"/>
        <w:rPr>
          <w:rFonts w:ascii="黑体" w:hAnsi="黑体" w:eastAsia="黑体" w:cs="黑体"/>
          <w:color w:val="auto"/>
          <w:sz w:val="28"/>
          <w:szCs w:val="28"/>
          <w:highlight w:val="none"/>
        </w:rPr>
        <w:outlineLvl w:val="1"/>
      </w:pPr>
      <w:r/>
      <w:bookmarkStart w:id="51" w:name="_Toc22302"/>
      <w:r>
        <w:rPr>
          <w:rFonts w:hint="eastAsia" w:ascii="黑体" w:hAnsi="黑体" w:eastAsia="黑体" w:cs="黑体"/>
          <w:color w:val="auto"/>
          <w:sz w:val="28"/>
          <w:szCs w:val="28"/>
          <w:highlight w:val="none"/>
        </w:rPr>
        <w:t xml:space="preserve">一  说明</w:t>
      </w:r>
      <w:bookmarkEnd w:id="51"/>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52" w:name="_Toc13829"/>
      <w:r>
        <w:rPr>
          <w:rFonts w:hint="eastAsia" w:ascii="宋体" w:hAnsi="宋体" w:eastAsia="宋体" w:cs="宋体"/>
          <w:b/>
          <w:bCs/>
          <w:color w:val="auto"/>
          <w:sz w:val="24"/>
          <w:szCs w:val="24"/>
          <w:highlight w:val="none"/>
        </w:rPr>
        <w:t xml:space="preserve">1相关概念或定义</w:t>
      </w:r>
      <w:bookmarkEnd w:id="52"/>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1.1采购人、采购代理机构：指依法进行政府采购的国家机关、事业单位、团体组织，及其委托的采购代理机构。本项目采购人、采购代理机构见第一章《竞争性磋商公告》。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1.2供应商（也称“申请人”）：指向采购人提供货物、工程或者服务的法人、其他组织或者自然人。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1.3联合体：指两个以上的自然人、法人或者其他组织可以组成一个联合体，以一个供应商的身份共同参加政府采购。</w:t>
      </w:r>
      <w:r/>
    </w:p>
    <w:p>
      <w:pPr>
        <w:ind w:firstLine="480"/>
        <w:keepLines w:val="0"/>
        <w:keepNext w:val="0"/>
        <w:pageBreakBefore w:val="0"/>
        <w:spacing w:line="520" w:lineRule="exact"/>
        <w:widowControl w:val="off"/>
        <w:tabs>
          <w:tab w:val="left" w:pos="900" w:leader="none"/>
          <w:tab w:val="center" w:pos="487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1.4“法定代表人”是指供应商的营业执照或相关部门的登记证明文件中的“法定代表人”或“负责人”。</w:t>
      </w:r>
      <w:r/>
    </w:p>
    <w:p>
      <w:pPr>
        <w:ind w:firstLine="480"/>
        <w:keepLines w:val="0"/>
        <w:keepNext w:val="0"/>
        <w:pageBreakBefore w:val="0"/>
        <w:spacing w:line="520" w:lineRule="exact"/>
        <w:widowControl w:val="off"/>
        <w:tabs>
          <w:tab w:val="left" w:pos="900" w:leader="none"/>
          <w:tab w:val="center" w:pos="487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1.5“公章”包括：法人章（单位全称的印章）、法定代表人章、发票章、合同章、财务章，响应文件中单位盖章为：法人章（单位全称的印章）。</w:t>
      </w:r>
      <w:r/>
    </w:p>
    <w:p>
      <w:pPr>
        <w:ind w:firstLine="480"/>
        <w:keepLines w:val="0"/>
        <w:keepNext w:val="0"/>
        <w:pageBreakBefore w:val="0"/>
        <w:spacing w:line="520" w:lineRule="exact"/>
        <w:widowControl w:val="off"/>
        <w:tabs>
          <w:tab w:val="left" w:pos="900" w:leader="none"/>
          <w:tab w:val="center" w:pos="487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1.6“天”：日历天。</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53" w:name="_Toc20392"/>
      <w:r>
        <w:rPr>
          <w:rFonts w:hint="eastAsia" w:ascii="宋体" w:hAnsi="宋体" w:eastAsia="宋体" w:cs="宋体"/>
          <w:b/>
          <w:bCs/>
          <w:color w:val="auto"/>
          <w:sz w:val="24"/>
          <w:szCs w:val="24"/>
          <w:highlight w:val="none"/>
        </w:rPr>
        <w:t xml:space="preserve">2资金来源、项目属性、科研仪器设备采购</w:t>
      </w:r>
      <w:bookmarkEnd w:id="53"/>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2.1资金来源为财政性资金和</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或本项目采购中无法与财政性资金分割的非财政性资金。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2.2项目属性见《供应商须知前附表》。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2.3是否属于科研仪器设备采购见《供应商须知前附表》。</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54" w:name="_Toc30373"/>
      <w:r>
        <w:rPr>
          <w:rFonts w:hint="eastAsia" w:ascii="宋体" w:hAnsi="宋体" w:eastAsia="宋体" w:cs="宋体"/>
          <w:b/>
          <w:bCs/>
          <w:color w:val="auto"/>
          <w:sz w:val="24"/>
          <w:szCs w:val="24"/>
          <w:highlight w:val="none"/>
        </w:rPr>
        <w:t xml:space="preserve">3现场考察、磋商前答疑会</w:t>
      </w:r>
      <w:bookmarkEnd w:id="54"/>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3.1若《供应商须知前附表》中规定了组织现场考察、召开磋商前答疑会，则供应商应按要求在规定的时间和地点参加。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3.2由于未参加现场考察或磋商前答疑会而导致对项目实际情况不了解，影响响应文件编制、报价准确性、综合因素响应不全面等问题的，由供应商自行承担不利评审后果。</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55" w:name="_Toc8495"/>
      <w:r>
        <w:rPr>
          <w:rFonts w:hint="eastAsia" w:ascii="宋体" w:hAnsi="宋体" w:eastAsia="宋体" w:cs="宋体"/>
          <w:b/>
          <w:bCs/>
          <w:color w:val="auto"/>
          <w:sz w:val="24"/>
          <w:szCs w:val="24"/>
          <w:highlight w:val="none"/>
        </w:rPr>
        <w:t xml:space="preserve">4政府采购政策（包括但不限于下列具体政策要求）</w:t>
      </w:r>
      <w:bookmarkEnd w:id="55"/>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4.1采购本国货物、工程和服务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4.1.1政府采购应当采购本国货物、工程和服务。但有《中华人民共和国政府采购法》第十条规定情形的除外。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4.1.2本项目如接受非本国货物、工程、服务参与投标，则具体要求见第四章《采购需求》。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4.2中小企业、监狱企业及残疾人福利性单位</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4.2.1中小企业的定义：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4.2.1.1中小企</w:t>
      </w:r>
      <w:r>
        <w:rPr>
          <w:rFonts w:hint="eastAsia" w:ascii="宋体" w:hAnsi="宋体" w:eastAsia="宋体" w:cs="宋体"/>
          <w:color w:val="auto"/>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4.2.1.2供应商提供的货物、工程或者服务符合下列情形的，享受中小企业扶持政策：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4.2.1.3在货物采购项目中，供应商提供的货物既有中小企业制造的货物，也有大型企业制造货物的，不享受中小企业扶持政策。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4.2.1.4以联合体形式参加政府采购活动，联合体各方均为中小企业的，联合体视同中小企业。其中，联合体各方均为小微企业的，联合体视同小微企业。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4.2.3在政府采购活动中，残疾人福利性单位视同小型、微型企业，享受预留份额、评审价格扣除等促进中小企业发展的政府采购政策。残疾人福利性单位定义：享受政府采购支持政策的残疾人福利性单位应当同时满足以下条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4.2.3.1安置的残疾人占本单位在职职工人数的比例不低于25%（含25%），并且安置的残疾人人数不少于10人（含10人）；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4.2.3.2依法与安置的每位残疾人签订了一年以上（含一年）的劳动合同或服务协议；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4.2.3.3为安置的每位残疾人按月足额缴纳了基本养老保险、基本医疗保险、失业保险、工伤保险和生育保险等社会保险费；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4.2.3.4通过银行等金融机构向安置的每位残疾人，按月支付了不低于单位所在区县适用的经省级人民政府批准的月最低工资标准的工资；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4.2.3.5提供本单位制造的货物、承担的工程或者服务（以下简称产品），或者提供其他残疾人福利性单位制造的货物（不包括使用非残疾人福利性单位注册商标的货物）；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4.2.4本项目是否专门面向中小企业预留采购份额见第一章《竞争性磋商公告》。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4.2.5采购标的对应的中小企业划分标准所属行业见《供应商须知前附表》。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4.2.6小微企业价格评审优惠的政策调整：见第三章《评审方法和评审标准》。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4.3政府采购节能产品、环境标志产品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bCs/>
          <w:color w:val="auto"/>
          <w:sz w:val="24"/>
          <w:szCs w:val="24"/>
          <w:highlight w:val="none"/>
          <w:u w:val="single"/>
        </w:rPr>
        <w:t xml:space="preserve">响应无效</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4.3.4非政府强制采购的节能产品或环境标志产品，依据品目清单和认证证书实施政府优先采购。优先采购的具体规定见第三章《评审方法和评审标准》（如涉及）。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4.4正版软件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color w:val="auto"/>
          <w:sz w:val="24"/>
          <w:szCs w:val="24"/>
          <w:highlight w:val="none"/>
          <w:u w:val="single"/>
        </w:rPr>
        <w:t xml:space="preserve">响应无效</w:t>
      </w:r>
      <w:r>
        <w:rPr>
          <w:rFonts w:hint="eastAsia" w:ascii="宋体" w:hAnsi="宋体" w:eastAsia="宋体" w:cs="宋体"/>
          <w:color w:val="auto"/>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4.5网络安全专用产品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4.6推广使用低挥发性有机化合物（VOCs）</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4.6.1为贯彻落实省委、省政府《关于推动高质量发展做好碳达峰碳中和工作的实施意见》（苏发〔2022〕2号），根据《财政支持做好碳达峰碳中和工作的意见》（财资环〔2022〕53号）和《江苏省财政支持做好碳达峰碳中和工作实施方案》（苏财资环〔2023〕7号）要求，依据《江苏省财政厅关于加强政府绿色采购有关事项的通知》（苏财购〔2023〕65号）。本项目中涉及涂料、胶黏剂、油墨、清洗剂等挥发性有机物产品的，属于强制性标准的，应当在采购文件中明确要求供应商执行国家和我省VOCs含量限制标准，否则</w:t>
      </w:r>
      <w:r>
        <w:rPr>
          <w:rFonts w:hint="eastAsia" w:ascii="宋体" w:hAnsi="宋体" w:eastAsia="宋体" w:cs="宋体"/>
          <w:b/>
          <w:bCs/>
          <w:color w:val="auto"/>
          <w:sz w:val="24"/>
          <w:szCs w:val="24"/>
          <w:highlight w:val="none"/>
          <w:u w:val="single"/>
        </w:rPr>
        <w:t xml:space="preserve">响应无效</w:t>
      </w:r>
      <w:r>
        <w:rPr>
          <w:rFonts w:hint="eastAsia" w:ascii="宋体" w:hAnsi="宋体" w:eastAsia="宋体" w:cs="宋体"/>
          <w:color w:val="auto"/>
          <w:sz w:val="24"/>
          <w:szCs w:val="24"/>
          <w:highlight w:val="none"/>
        </w:rPr>
        <w:t xml:space="preserve">；属于推荐性标准的，应当在采购文件中载明使用低VOCs的优惠幅度、评审标准等。在通用类货物、家具、印刷、公务车辆维修等采购活动中，应当要求供应商优先使用低挥发性原辅材料，将使用低VOCs含量的涂料、胶粘剂等纳入政府采购合同条款。具体见第三章《评审方法和评审标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4.7采购需求标准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4.7.1商品包装、快递包装政府采购需求标准（试行）</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助力打好污染防治攻坚战，推广使用绿色包装，根据财政部关于印发《商品包装政府采购需求标准（试行）》《快递包装政府采购需求标准（试行）》的通知（财办库〔2020〕123号），本项目如涉及商品包装和快递包装的，按规定执行。</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4.7.2绿色数据中心政府采购需求标准（试行）</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加快数据中心绿色转型，根据财政部生态环境部工业和信息化部关于印发《绿色数据中心政府采购需求标准（试行）》的通知（财库〔2023〕7号），本项目如涉及绿色数据中心，则具体要求见第四章《采购需求》。</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56" w:name="_Toc4478"/>
      <w:r>
        <w:rPr>
          <w:rFonts w:hint="eastAsia" w:ascii="宋体" w:hAnsi="宋体" w:eastAsia="宋体" w:cs="宋体"/>
          <w:b/>
          <w:bCs/>
          <w:color w:val="auto"/>
          <w:sz w:val="24"/>
          <w:szCs w:val="24"/>
          <w:highlight w:val="none"/>
        </w:rPr>
        <w:t xml:space="preserve">5响应费用</w:t>
      </w:r>
      <w:bookmarkEnd w:id="56"/>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5.1供应商应自行承担所有与准备和参加磋商有关的费用，无论磋商的结果如何，采购人或采购代理机构在任何情况下均无承担这些费用的义务和责任。</w:t>
      </w:r>
      <w:r/>
    </w:p>
    <w:p>
      <w:pPr>
        <w:jc w:val="center"/>
        <w:keepLines w:val="0"/>
        <w:keepNext w:val="0"/>
        <w:pageBreakBefore w:val="0"/>
        <w:spacing w:line="600" w:lineRule="exact"/>
        <w:widowControl w:val="off"/>
        <w:rPr>
          <w:rFonts w:ascii="黑体" w:hAnsi="黑体" w:eastAsia="黑体" w:cs="黑体"/>
          <w:color w:val="auto"/>
          <w:sz w:val="28"/>
          <w:szCs w:val="28"/>
          <w:highlight w:val="none"/>
        </w:rPr>
        <w:outlineLvl w:val="1"/>
      </w:pPr>
      <w:r/>
      <w:bookmarkStart w:id="57" w:name="_Toc17787"/>
      <w:r>
        <w:rPr>
          <w:rFonts w:hint="eastAsia" w:ascii="黑体" w:hAnsi="黑体" w:eastAsia="黑体" w:cs="黑体"/>
          <w:color w:val="auto"/>
          <w:sz w:val="28"/>
          <w:szCs w:val="28"/>
          <w:highlight w:val="none"/>
        </w:rPr>
        <w:t xml:space="preserve">二  竞争性磋商文件</w:t>
      </w:r>
      <w:bookmarkEnd w:id="57"/>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1"/>
      </w:pPr>
      <w:r/>
      <w:bookmarkStart w:id="58" w:name="_Toc23740"/>
      <w:r>
        <w:rPr>
          <w:rFonts w:hint="eastAsia" w:ascii="宋体" w:hAnsi="宋体" w:eastAsia="宋体" w:cs="宋体"/>
          <w:b/>
          <w:bCs/>
          <w:color w:val="auto"/>
          <w:sz w:val="24"/>
          <w:szCs w:val="24"/>
          <w:highlight w:val="none"/>
        </w:rPr>
        <w:t xml:space="preserve">6竞争性磋商文件构成</w:t>
      </w:r>
      <w:bookmarkEnd w:id="58"/>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6.1竞争性磋商文件包括以下部分：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 竞争性磋商公告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供应商须知</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评审方法和评审标准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 采购需求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 合同草案条款</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响应文件格式</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6.2供应商应认真阅读竞争性磋商文件的全部内容。供应商应按照竞争性磋商文件要求提交响应文件，并保证所提供的全部资料的真实性，并对竞争性磋商文件作出实质性响应，否则</w:t>
      </w:r>
      <w:r>
        <w:rPr>
          <w:rFonts w:hint="eastAsia" w:ascii="宋体" w:hAnsi="宋体" w:eastAsia="宋体" w:cs="宋体"/>
          <w:b/>
          <w:bCs/>
          <w:color w:val="auto"/>
          <w:sz w:val="24"/>
          <w:szCs w:val="24"/>
          <w:highlight w:val="none"/>
          <w:u w:val="single"/>
        </w:rPr>
        <w:t xml:space="preserve">响应无效</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1"/>
      </w:pPr>
      <w:r/>
      <w:bookmarkStart w:id="59" w:name="_Toc30589"/>
      <w:r>
        <w:rPr>
          <w:rFonts w:hint="eastAsia" w:ascii="宋体" w:hAnsi="宋体" w:eastAsia="宋体" w:cs="宋体"/>
          <w:b/>
          <w:bCs/>
          <w:color w:val="auto"/>
          <w:sz w:val="24"/>
          <w:szCs w:val="24"/>
          <w:highlight w:val="none"/>
        </w:rPr>
        <w:t xml:space="preserve">7对竞争性磋商文件的澄清或修改</w:t>
      </w:r>
      <w:bookmarkEnd w:id="59"/>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7.2上述书面通知，按照获取竞争性磋商文件的潜在供应商提供的联系方式发出；因提供的信息有误导致通知延迟或无法通知的，采购人或采购代理机构不承担责任。</w:t>
      </w:r>
      <w:r/>
    </w:p>
    <w:p>
      <w:pPr>
        <w:ind w:firstLine="480"/>
        <w:keepLines w:val="0"/>
        <w:keepNext w:val="0"/>
        <w:pageBreakBefore w:val="0"/>
        <w:spacing w:line="520" w:lineRule="exact"/>
        <w:widowControl w:val="off"/>
        <w:rPr>
          <w:rFonts w:asciiTheme="minorEastAsia" w:hAnsiTheme="minorEastAsia" w:cstheme="minorEastAsia"/>
          <w:color w:val="auto"/>
          <w:sz w:val="23"/>
          <w:szCs w:val="23"/>
          <w:highlight w:val="none"/>
        </w:rPr>
      </w:pPr>
      <w:r>
        <w:rPr>
          <w:rFonts w:hint="eastAsia" w:ascii="宋体" w:hAnsi="宋体" w:eastAsia="宋体" w:cs="宋体"/>
          <w:color w:val="auto"/>
          <w:sz w:val="24"/>
          <w:szCs w:val="24"/>
          <w:highlight w:val="none"/>
        </w:rPr>
        <w:t xml:space="preserve">7.3澄清或者修改的内容为竞争性磋商文件的组成部分，并对所有获取竞争性磋商文件的潜在供应商具有约束力。澄清或者修改的内容可能影响响应文件编制的，将在提交首次响应文件截止之日5日前，以书面形式通知所有获取磋商文件的供应商；不足上述时间的，将顺延提交响应文件截止时间。</w:t>
      </w:r>
      <w:r/>
    </w:p>
    <w:p>
      <w:pPr>
        <w:jc w:val="center"/>
        <w:keepLines w:val="0"/>
        <w:keepNext w:val="0"/>
        <w:pageBreakBefore w:val="0"/>
        <w:spacing w:line="600" w:lineRule="exact"/>
        <w:widowControl w:val="off"/>
        <w:rPr>
          <w:rFonts w:hint="eastAsia" w:ascii="黑体" w:hAnsi="黑体" w:eastAsia="黑体" w:cs="黑体"/>
          <w:color w:val="auto"/>
          <w:sz w:val="28"/>
          <w:szCs w:val="28"/>
          <w:highlight w:val="none"/>
        </w:rPr>
        <w:outlineLvl w:val="1"/>
      </w:pPr>
      <w:r/>
      <w:bookmarkStart w:id="60" w:name="_Toc22299"/>
      <w:r>
        <w:rPr>
          <w:rFonts w:hint="eastAsia" w:ascii="黑体" w:hAnsi="黑体" w:eastAsia="黑体" w:cs="黑体"/>
          <w:color w:val="auto"/>
          <w:sz w:val="28"/>
          <w:szCs w:val="28"/>
          <w:highlight w:val="none"/>
        </w:rPr>
        <w:t xml:space="preserve">三  响应文件的编制</w:t>
      </w:r>
      <w:bookmarkEnd w:id="60"/>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61" w:name="_Toc29778"/>
      <w:r>
        <w:rPr>
          <w:rFonts w:hint="eastAsia" w:ascii="宋体" w:hAnsi="宋体" w:eastAsia="宋体" w:cs="宋体"/>
          <w:b/>
          <w:bCs/>
          <w:color w:val="auto"/>
          <w:sz w:val="24"/>
          <w:szCs w:val="24"/>
          <w:highlight w:val="none"/>
        </w:rPr>
        <w:t xml:space="preserve">8响应范围、竞争性磋商文件中计量单位的使用及磋商语言</w:t>
      </w:r>
      <w:bookmarkEnd w:id="61"/>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宋体" w:hAnsi="宋体" w:eastAsia="宋体" w:cs="宋体"/>
          <w:b/>
          <w:bCs/>
          <w:color w:val="auto"/>
          <w:sz w:val="24"/>
          <w:szCs w:val="24"/>
          <w:highlight w:val="none"/>
          <w:u w:val="single"/>
        </w:rPr>
        <w:t xml:space="preserve">响应无效</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8.2除竞争性磋商文件有特殊要求外，本项目磋商所使用的计量单位，应采用中华人民共和国法定计量单位。</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62" w:name="_Toc17766"/>
      <w:r>
        <w:rPr>
          <w:rFonts w:hint="eastAsia" w:ascii="宋体" w:hAnsi="宋体" w:eastAsia="宋体" w:cs="宋体"/>
          <w:b/>
          <w:bCs/>
          <w:color w:val="auto"/>
          <w:sz w:val="24"/>
          <w:szCs w:val="24"/>
          <w:highlight w:val="none"/>
        </w:rPr>
        <w:t xml:space="preserve">9响应文件构成</w:t>
      </w:r>
      <w:bookmarkEnd w:id="62"/>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9.1供应商应当按照竞争性磋商文件</w:t>
      </w:r>
      <w:r>
        <w:rPr>
          <w:rFonts w:hint="eastAsia" w:ascii="宋体" w:hAnsi="宋体" w:eastAsia="宋体" w:cs="宋体"/>
          <w:color w:val="auto"/>
          <w:sz w:val="24"/>
          <w:szCs w:val="24"/>
          <w:highlight w:val="none"/>
          <w:lang w:val="en-US" w:eastAsia="zh-CN"/>
        </w:rPr>
        <w:t xml:space="preserve">第六章</w:t>
      </w:r>
      <w:r>
        <w:rPr>
          <w:rFonts w:hint="eastAsia" w:ascii="宋体" w:hAnsi="宋体" w:eastAsia="宋体" w:cs="宋体"/>
          <w:color w:val="auto"/>
          <w:sz w:val="24"/>
          <w:szCs w:val="24"/>
          <w:highlight w:val="none"/>
        </w:rPr>
        <w:t xml:space="preserve">的要求编制响应文件，并对其提交的响应文件的真实性、合法性承担法律责任。响应文件的部分格式要求，见第六章《响应文件格式》。</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9.2对于竞争性磋商文件</w:t>
      </w:r>
      <w:r>
        <w:rPr>
          <w:rFonts w:hint="eastAsia" w:ascii="宋体" w:hAnsi="宋体" w:eastAsia="宋体" w:cs="宋体"/>
          <w:color w:val="auto"/>
          <w:sz w:val="24"/>
          <w:szCs w:val="24"/>
          <w:highlight w:val="none"/>
          <w:lang w:val="en-US" w:eastAsia="zh-CN"/>
        </w:rPr>
        <w:t xml:space="preserve">第六章</w:t>
      </w:r>
      <w:r>
        <w:rPr>
          <w:rFonts w:hint="eastAsia" w:ascii="宋体" w:hAnsi="宋体" w:eastAsia="宋体" w:cs="宋体"/>
          <w:color w:val="auto"/>
          <w:sz w:val="24"/>
          <w:szCs w:val="24"/>
          <w:highlight w:val="none"/>
        </w:rPr>
        <w:t xml:space="preserve">中标记了“实质性格式”的文件，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4"/>
          <w:szCs w:val="24"/>
          <w:highlight w:val="none"/>
          <w:u w:val="single"/>
        </w:rPr>
        <w:t xml:space="preserve">响应无效</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未标记“实质性格式”的文件和竞争性磋商文件未提供格式的内容，可由供应商自行编写。</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9.3第三章《评审方法和评审标准》中涉及的证明文件。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9.5供应商认为应附的其他材料。</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63" w:name="_Toc305"/>
      <w:r>
        <w:rPr>
          <w:rFonts w:hint="eastAsia" w:ascii="宋体" w:hAnsi="宋体" w:eastAsia="宋体" w:cs="宋体"/>
          <w:b/>
          <w:bCs/>
          <w:color w:val="auto"/>
          <w:sz w:val="24"/>
          <w:szCs w:val="24"/>
          <w:highlight w:val="none"/>
        </w:rPr>
        <w:t xml:space="preserve">10报价</w:t>
      </w:r>
      <w:bookmarkEnd w:id="63"/>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10.1所有响应均以人民币报价。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10.2供应商的报价应包括为完成本项目所发生的一切费用和税费，采购人将不再支付报价以外的任何费用。供应商的报价应包括但不限于下列内容，《供应商须知前附表》中有特殊规定的，从其规定。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10.2.2按照竞争性磋商文件要求完成本项目的全部相关费用。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10.3采购人不得向供应商索要或者接受其给予的赠品、回扣或者与采购无关的其他商品、服务。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10.4供应商不能提供任何有选择性或可调整的最后报价（竞争性磋商文件另有规定的除外），否则其</w:t>
      </w:r>
      <w:r>
        <w:rPr>
          <w:rFonts w:hint="eastAsia" w:ascii="宋体" w:hAnsi="宋体" w:eastAsia="宋体" w:cs="宋体"/>
          <w:b/>
          <w:bCs/>
          <w:color w:val="auto"/>
          <w:sz w:val="24"/>
          <w:szCs w:val="24"/>
          <w:highlight w:val="none"/>
          <w:u w:val="single"/>
        </w:rPr>
        <w:t xml:space="preserve">响应无效</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10.5供应商报价须符合《泰州市住房和城乡建设局关于进一步加强建设工程质量检测行业管理的通知(试行)》（泰建发[2023]164号）规定。</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64" w:name="_Toc1326"/>
      <w:r>
        <w:rPr>
          <w:rFonts w:hint="eastAsia" w:ascii="宋体" w:hAnsi="宋体" w:eastAsia="宋体" w:cs="宋体"/>
          <w:b/>
          <w:bCs/>
          <w:color w:val="auto"/>
          <w:sz w:val="24"/>
          <w:szCs w:val="24"/>
          <w:highlight w:val="none"/>
        </w:rPr>
        <w:t xml:space="preserve">11磋商保证金</w:t>
      </w:r>
      <w:bookmarkEnd w:id="64"/>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11.1供应商应按《供应商须知前附表》中规定的金额及要求缴纳磋商保证金。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11.2交纳磋商保证金可采用的形式：政府采购法律法规接受的支票、汇票、本票、网上银行支付或者金融机构、担保机构出具的保函等非现金形式。</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eastAsia="宋体" w:cs="宋体"/>
          <w:b/>
          <w:bCs/>
          <w:color w:val="auto"/>
          <w:sz w:val="24"/>
          <w:szCs w:val="24"/>
          <w:highlight w:val="none"/>
          <w:u w:val="single"/>
        </w:rPr>
        <w:t xml:space="preserve">响应无效</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11.4磋商保证金有效期同响应有效期。</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11.5供应商为联合体的，可以由联合体中的一方或者多方共同交纳磋商保证金，其交纳的保证金对联合体各方均具有约束力。</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11.6采购人、采购代理机构将及时退还供应商的保证金，采用银行保函、担保机构担保函等形式递交的保证金，经供应商同意后采购人、采购代理机构可以不再退还，但因供应商自身原因导致无法及时退还的除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11.6.1已提交响应文件的供应商，在提交最后报价之前，可以根据磋商情况退出磋商。采购人、采购代理机构将退还退出磋商的供应商的磋商保证金；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11.6.2成交供应商的磋商保证金，在采购合同签订后5个工作日内退还成交供应商；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11.6.3未成交供应商的磋商保证金，在成交通知书发出后5个工作日内退还。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11.7有下列情形之一的，采购人或采购代理机构不予退还磋商保证金：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11.7.1供应商在提交响应文件截止时间后撤回响应文件的；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11.7.2供应商在响应文件中提供虚假材料的；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11.7.3除因不可抗力或磋商文件认可的情形以外，成交供应商不与采购人签订合同的；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11.7.4供应商与采购人、其他供应商或者采购代理机构恶意串通的；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11.7.5《供应商须知前附表》规定的其他情形。</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65" w:name="_Toc17871"/>
      <w:r>
        <w:rPr>
          <w:rFonts w:hint="eastAsia" w:ascii="宋体" w:hAnsi="宋体" w:eastAsia="宋体" w:cs="宋体"/>
          <w:b/>
          <w:bCs/>
          <w:color w:val="auto"/>
          <w:sz w:val="24"/>
          <w:szCs w:val="24"/>
          <w:highlight w:val="none"/>
        </w:rPr>
        <w:t xml:space="preserve">12响应有效期</w:t>
      </w:r>
      <w:bookmarkEnd w:id="65"/>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12.1响应文件应在本竞争性磋商文件《供应商须知前附表》中规定的响应有效期内保持有效，响应有效期少于竞争性磋商文件规定期限的，其</w:t>
      </w:r>
      <w:r>
        <w:rPr>
          <w:rFonts w:hint="eastAsia" w:ascii="宋体" w:hAnsi="宋体" w:eastAsia="宋体" w:cs="宋体"/>
          <w:b/>
          <w:bCs/>
          <w:color w:val="auto"/>
          <w:sz w:val="24"/>
          <w:szCs w:val="24"/>
          <w:highlight w:val="none"/>
          <w:u w:val="single"/>
        </w:rPr>
        <w:t xml:space="preserve">响应无效</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66" w:name="_Toc1553"/>
      <w:r>
        <w:rPr>
          <w:rFonts w:hint="eastAsia" w:ascii="宋体" w:hAnsi="宋体" w:eastAsia="宋体" w:cs="宋体"/>
          <w:b/>
          <w:bCs/>
          <w:color w:val="auto"/>
          <w:sz w:val="24"/>
          <w:szCs w:val="24"/>
          <w:highlight w:val="none"/>
        </w:rPr>
        <w:t xml:space="preserve">13响应文件的签署、盖章</w:t>
      </w:r>
      <w:bookmarkEnd w:id="66"/>
      <w:r/>
      <w:r/>
    </w:p>
    <w:p>
      <w:pPr>
        <w:pStyle w:val="735"/>
        <w:ind w:left="0" w:firstLine="480"/>
        <w:keepLines w:val="0"/>
        <w:keepNext w:val="0"/>
        <w:pageBreakBefore w:val="0"/>
        <w:spacing w:after="0" w:line="520" w:lineRule="exact"/>
        <w:widowControl w:val="off"/>
        <w:rPr>
          <w:rFonts w:asciiTheme="minorEastAsia" w:hAnsiTheme="minorEastAsia" w:eastAsiaTheme="minorEastAsia" w:cstheme="minorEastAsia"/>
          <w:color w:val="auto"/>
          <w:sz w:val="23"/>
          <w:szCs w:val="23"/>
          <w:highlight w:val="none"/>
        </w:rPr>
        <w:outlineLvl w:val="9"/>
      </w:pPr>
      <w:r>
        <w:rPr>
          <w:rFonts w:hint="eastAsia" w:ascii="宋体" w:hAnsi="宋体" w:eastAsia="宋体" w:cs="宋体"/>
          <w:color w:val="auto"/>
          <w:sz w:val="24"/>
          <w:szCs w:val="24"/>
          <w:highlight w:val="none"/>
        </w:rPr>
        <w:t xml:space="preserve">13.1按照竞争性磋商文件中“响应文件格式”的要求签字、盖章。</w:t>
      </w:r>
      <w:r>
        <w:rPr>
          <w:rFonts w:hint="eastAsia" w:ascii="宋体" w:hAnsi="宋体" w:eastAsia="宋体" w:cs="宋体"/>
          <w:b/>
          <w:bCs/>
          <w:color w:val="auto"/>
          <w:sz w:val="24"/>
          <w:szCs w:val="24"/>
          <w:highlight w:val="none"/>
        </w:rPr>
        <w:t xml:space="preserve">联合体磋商的，除联合协议外，没有特别说明的材料盖章部分可只需牵头人盖章。</w:t>
      </w:r>
      <w:r/>
    </w:p>
    <w:p>
      <w:pPr>
        <w:jc w:val="center"/>
        <w:keepLines w:val="0"/>
        <w:keepNext w:val="0"/>
        <w:pageBreakBefore w:val="0"/>
        <w:spacing w:line="600" w:lineRule="exact"/>
        <w:widowControl w:val="off"/>
        <w:rPr>
          <w:rFonts w:hint="eastAsia" w:ascii="黑体" w:hAnsi="黑体" w:eastAsia="黑体" w:cs="黑体"/>
          <w:color w:val="auto"/>
          <w:sz w:val="28"/>
          <w:szCs w:val="28"/>
          <w:highlight w:val="none"/>
        </w:rPr>
        <w:outlineLvl w:val="1"/>
      </w:pPr>
      <w:r/>
      <w:bookmarkStart w:id="67" w:name="_Toc18190"/>
      <w:r>
        <w:rPr>
          <w:rFonts w:hint="eastAsia" w:ascii="黑体" w:hAnsi="黑体" w:eastAsia="黑体" w:cs="黑体"/>
          <w:color w:val="auto"/>
          <w:sz w:val="28"/>
          <w:szCs w:val="28"/>
          <w:highlight w:val="none"/>
        </w:rPr>
        <w:t xml:space="preserve">四  响应文件的提交</w:t>
      </w:r>
      <w:bookmarkEnd w:id="67"/>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68" w:name="_Toc9789"/>
      <w:r>
        <w:rPr>
          <w:rFonts w:hint="eastAsia" w:ascii="宋体" w:hAnsi="宋体" w:eastAsia="宋体" w:cs="宋体"/>
          <w:b/>
          <w:bCs/>
          <w:color w:val="auto"/>
          <w:sz w:val="24"/>
          <w:szCs w:val="24"/>
          <w:highlight w:val="none"/>
        </w:rPr>
        <w:t xml:space="preserve">14响应文件的提交</w:t>
      </w:r>
      <w:bookmarkEnd w:id="68"/>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本项目如使用江苏省政府采购电子交易平台（详见《供应商须知前附表》）。供应商根据竞争性磋商文件及电子交易平台供应商操作手册要求编制、生成并提交电子响应文件。采购人及采购代理机构拒绝接受通过电子交易平台以外任何形式提交的响应文件，磋商保证金除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bookmarkStart w:id="69" w:name="_Toc61149563"/>
      <w:r/>
      <w:bookmarkStart w:id="70" w:name="_Toc14577363"/>
      <w:r/>
      <w:bookmarkStart w:id="71" w:name="_Toc462564084"/>
      <w:r/>
      <w:bookmarkStart w:id="72" w:name="_Toc513029225"/>
      <w:r>
        <w:rPr>
          <w:rFonts w:hint="eastAsia" w:ascii="宋体" w:hAnsi="宋体" w:eastAsia="宋体" w:cs="宋体"/>
          <w:color w:val="auto"/>
          <w:sz w:val="24"/>
          <w:szCs w:val="24"/>
          <w:highlight w:val="none"/>
        </w:rPr>
        <w:t xml:space="preserve">14.2非电子平台交易，响应文件要求按照《供应商须知前附表》要求如下：</w:t>
      </w:r>
      <w:bookmarkEnd w:id="69"/>
      <w:r/>
      <w:bookmarkEnd w:id="70"/>
      <w:r/>
      <w:bookmarkEnd w:id="71"/>
      <w:r/>
      <w:bookmarkEnd w:id="72"/>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14.2.1首次响应文件应用不易破损的封袋密封，封袋加盖供应商单位章，并在所有响应文件封面上标明“正本”或“副本”字样及项目名称。</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14.2.2密封的首次响应文件应：</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⑴按竞争性磋商采购文件中注明的地址送达规定地点；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⑵注明参加磋商项目名称、磋商文件编号；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⑶密封包装上应写明磋商供应商名称和地址。</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14.2.3由磋商供应商或其推选的代表检查响应文件密封情况。如果密封包装未按要求密封和加写标记，采购代理对误投或过早启封概不负责。对由此造成提前开封的响应文件，采购代理将予以拒绝，作</w:t>
      </w:r>
      <w:r>
        <w:rPr>
          <w:rFonts w:hint="eastAsia" w:ascii="宋体" w:hAnsi="宋体" w:eastAsia="宋体" w:cs="宋体"/>
          <w:b/>
          <w:bCs/>
          <w:color w:val="auto"/>
          <w:sz w:val="24"/>
          <w:szCs w:val="24"/>
          <w:highlight w:val="none"/>
          <w:u w:val="single"/>
        </w:rPr>
        <w:t xml:space="preserve">无效响应</w:t>
      </w:r>
      <w:r>
        <w:rPr>
          <w:rFonts w:hint="eastAsia" w:ascii="宋体" w:hAnsi="宋体" w:eastAsia="宋体" w:cs="宋体"/>
          <w:color w:val="auto"/>
          <w:sz w:val="24"/>
          <w:szCs w:val="24"/>
          <w:highlight w:val="none"/>
        </w:rPr>
        <w:t xml:space="preserve">处理。</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73" w:name="_Toc27627"/>
      <w:r>
        <w:rPr>
          <w:rFonts w:hint="eastAsia" w:ascii="宋体" w:hAnsi="宋体" w:eastAsia="宋体" w:cs="宋体"/>
          <w:b/>
          <w:bCs/>
          <w:color w:val="auto"/>
          <w:sz w:val="24"/>
          <w:szCs w:val="24"/>
          <w:highlight w:val="none"/>
        </w:rPr>
        <w:t xml:space="preserve">15响应文件提交截止时间</w:t>
      </w:r>
      <w:bookmarkEnd w:id="73"/>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15.1供应商应在竞争性磋商文件要求响应文件提交截止时间前提交响应文件。其他按照《供应商须知前附表》要求。</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74" w:name="_Toc21533"/>
      <w:r>
        <w:rPr>
          <w:rFonts w:hint="eastAsia" w:ascii="宋体" w:hAnsi="宋体" w:eastAsia="宋体" w:cs="宋体"/>
          <w:b/>
          <w:bCs/>
          <w:color w:val="auto"/>
          <w:sz w:val="24"/>
          <w:szCs w:val="24"/>
          <w:highlight w:val="none"/>
        </w:rPr>
        <w:t xml:space="preserve">16响应文件的修改与撤回</w:t>
      </w:r>
      <w:bookmarkEnd w:id="74"/>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16.1提交响应文件截止时间前，供应商可以对所提交的响应文件进行补充、修改或者撤回。磋商保证金的补充、修改或者撤回无需通过电子交易平台，但应就其补充、修改或者撤回通知采购人或采购代理机构。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16.2供应商对响应文件的补充、修改的内容应当按照竞争性磋商文件要求签署、盖章，作为响应文件的组成部分。补充、修改的内容与响应文件不一致的，以补充、修改的内容为准。</w:t>
      </w:r>
      <w:r/>
    </w:p>
    <w:p>
      <w:pPr>
        <w:jc w:val="center"/>
        <w:keepLines w:val="0"/>
        <w:keepNext w:val="0"/>
        <w:pageBreakBefore w:val="0"/>
        <w:spacing w:line="600" w:lineRule="exact"/>
        <w:widowControl w:val="off"/>
        <w:rPr>
          <w:rFonts w:hint="eastAsia" w:ascii="黑体" w:hAnsi="黑体" w:eastAsia="黑体" w:cs="黑体"/>
          <w:color w:val="auto"/>
          <w:sz w:val="28"/>
          <w:szCs w:val="28"/>
          <w:highlight w:val="none"/>
        </w:rPr>
        <w:outlineLvl w:val="1"/>
      </w:pPr>
      <w:r>
        <w:rPr>
          <w:rFonts w:hint="eastAsia" w:ascii="黑体" w:hAnsi="黑体" w:eastAsia="黑体" w:cs="黑体"/>
          <w:color w:val="auto"/>
          <w:sz w:val="28"/>
          <w:szCs w:val="28"/>
          <w:highlight w:val="none"/>
        </w:rPr>
        <w:t xml:space="preserve">五  评审</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75" w:name="_Toc1796"/>
      <w:r>
        <w:rPr>
          <w:rFonts w:hint="eastAsia" w:ascii="宋体" w:hAnsi="宋体" w:eastAsia="宋体" w:cs="宋体"/>
          <w:b/>
          <w:bCs/>
          <w:color w:val="auto"/>
          <w:sz w:val="24"/>
          <w:szCs w:val="24"/>
          <w:highlight w:val="none"/>
        </w:rPr>
        <w:t xml:space="preserve">17响应文件的解密与开启</w:t>
      </w:r>
      <w:bookmarkEnd w:id="75"/>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17.1采购人或采购代理机构将按竞争性磋商文件的规定，在响应文件提交截止时间的同一时间和竞争性磋商文件预先确定的地点开启响应文件。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17.2如使用江苏省政府采购电子交易平台。供应商应在规定的时间内对响应文件进行解密，因非系统原因导致的解密失败，视为</w:t>
      </w:r>
      <w:r>
        <w:rPr>
          <w:rFonts w:hint="eastAsia" w:ascii="宋体" w:hAnsi="宋体" w:eastAsia="宋体" w:cs="宋体"/>
          <w:b/>
          <w:bCs/>
          <w:color w:val="auto"/>
          <w:sz w:val="24"/>
          <w:szCs w:val="24"/>
          <w:highlight w:val="none"/>
          <w:u w:val="single"/>
        </w:rPr>
        <w:t xml:space="preserve">无效响应</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17.3供应商认为采购人员及相关人员与其他供应商有利害关系的，可以向采购人或采购代理机构书面提出回避申请，并说明理由。采购人或采购代理机构将及时询问被申请回避人员，有利害关系的被申请回避人员将回避。</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17.4供应商不足3家的，不予进行磋商活动（电子化交易的不予解密）。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17.5本项目不公开报价。</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76" w:name="_Toc9803"/>
      <w:r>
        <w:rPr>
          <w:rFonts w:hint="eastAsia" w:ascii="宋体" w:hAnsi="宋体" w:eastAsia="宋体" w:cs="宋体"/>
          <w:b/>
          <w:bCs/>
          <w:color w:val="auto"/>
          <w:sz w:val="24"/>
          <w:szCs w:val="24"/>
          <w:highlight w:val="none"/>
        </w:rPr>
        <w:t xml:space="preserve">18磋商小组</w:t>
      </w:r>
      <w:bookmarkEnd w:id="76"/>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18.1磋商小组根据政府采购有关规定和本次采购项目的特点进行组建，并负责具体评审与磋商事务，独立履行职责。</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77" w:name="_Toc28977"/>
      <w:r>
        <w:rPr>
          <w:rFonts w:hint="eastAsia" w:ascii="宋体" w:hAnsi="宋体" w:eastAsia="宋体" w:cs="宋体"/>
          <w:b/>
          <w:bCs/>
          <w:color w:val="auto"/>
          <w:sz w:val="24"/>
          <w:szCs w:val="24"/>
          <w:highlight w:val="none"/>
        </w:rPr>
        <w:t xml:space="preserve">19评审方法和评审标准</w:t>
      </w:r>
      <w:bookmarkEnd w:id="77"/>
      <w:r/>
      <w:r/>
    </w:p>
    <w:p>
      <w:pPr>
        <w:ind w:firstLine="480"/>
        <w:keepLines w:val="0"/>
        <w:keepNext w:val="0"/>
        <w:pageBreakBefore w:val="0"/>
        <w:spacing w:line="520" w:lineRule="exact"/>
        <w:widowControl w:val="off"/>
        <w:rPr>
          <w:rFonts w:asciiTheme="minorEastAsia" w:hAnsiTheme="minorEastAsia" w:cstheme="minorEastAsia"/>
          <w:color w:val="auto"/>
          <w:sz w:val="23"/>
          <w:szCs w:val="23"/>
          <w:highlight w:val="none"/>
        </w:rPr>
        <w:outlineLvl w:val="9"/>
      </w:pPr>
      <w:r>
        <w:rPr>
          <w:rFonts w:hint="eastAsia" w:ascii="宋体" w:hAnsi="宋体" w:eastAsia="宋体" w:cs="宋体"/>
          <w:color w:val="auto"/>
          <w:sz w:val="24"/>
          <w:szCs w:val="24"/>
          <w:highlight w:val="none"/>
        </w:rPr>
        <w:t xml:space="preserve">19.1见第三章《评审方法和评审标准》。</w:t>
      </w:r>
      <w:r/>
    </w:p>
    <w:p>
      <w:pPr>
        <w:jc w:val="center"/>
        <w:keepLines w:val="0"/>
        <w:keepNext w:val="0"/>
        <w:pageBreakBefore w:val="0"/>
        <w:spacing w:line="600" w:lineRule="exact"/>
        <w:widowControl w:val="off"/>
        <w:rPr>
          <w:rFonts w:hint="eastAsia" w:ascii="黑体" w:hAnsi="黑体" w:eastAsia="黑体" w:cs="黑体"/>
          <w:color w:val="auto"/>
          <w:sz w:val="28"/>
          <w:szCs w:val="28"/>
          <w:highlight w:val="none"/>
        </w:rPr>
        <w:outlineLvl w:val="1"/>
      </w:pPr>
      <w:r>
        <w:rPr>
          <w:rFonts w:hint="eastAsia" w:ascii="黑体" w:hAnsi="黑体" w:eastAsia="黑体" w:cs="黑体"/>
          <w:color w:val="auto"/>
          <w:sz w:val="28"/>
          <w:szCs w:val="28"/>
          <w:highlight w:val="none"/>
        </w:rPr>
        <w:t xml:space="preserve">六  确定成交</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78" w:name="_Toc25664"/>
      <w:r>
        <w:rPr>
          <w:rFonts w:hint="eastAsia" w:ascii="宋体" w:hAnsi="宋体" w:eastAsia="宋体" w:cs="宋体"/>
          <w:b/>
          <w:bCs/>
          <w:color w:val="auto"/>
          <w:sz w:val="24"/>
          <w:szCs w:val="24"/>
          <w:highlight w:val="none"/>
        </w:rPr>
        <w:t xml:space="preserve">20确定成交供应商</w:t>
      </w:r>
      <w:bookmarkEnd w:id="78"/>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采购人将在收到评审报告后，从评审报告提出的成交候选供应商中，按照排序由高到低的原则确定成交供应商。采购人是否授权磋商小组直接确定成交供应商，见《供应商须知前附表》。成交候选人并列的，按照《供应商须知前附表》要求确定成交供应商。</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79" w:name="_Toc26114"/>
      <w:r>
        <w:rPr>
          <w:rFonts w:hint="eastAsia" w:ascii="宋体" w:hAnsi="宋体" w:eastAsia="宋体" w:cs="宋体"/>
          <w:b/>
          <w:bCs/>
          <w:color w:val="auto"/>
          <w:sz w:val="24"/>
          <w:szCs w:val="24"/>
          <w:highlight w:val="none"/>
        </w:rPr>
        <w:t xml:space="preserve">21成交公告与成交通知书</w:t>
      </w:r>
      <w:bookmarkEnd w:id="79"/>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21.1采购人或采购代理机构将在成交供应商确定后2个工作日内，在江苏政府采购网公告成交结果，同时向成交供应商发出成交通知书，成交公告期限为1个工作日。</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21.2中标、成交通知书对采购人和中标、成交供应商均具有法律效力。中标、成交通知书发出后，采购人改变中标、成交结果的，或者中标、成交供应商放弃中标、成交项目的，应当依法承担法律责任。</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80" w:name="_Toc3417"/>
      <w:r>
        <w:rPr>
          <w:rFonts w:hint="eastAsia" w:ascii="宋体" w:hAnsi="宋体" w:eastAsia="宋体" w:cs="宋体"/>
          <w:b/>
          <w:bCs/>
          <w:color w:val="auto"/>
          <w:sz w:val="24"/>
          <w:szCs w:val="24"/>
          <w:highlight w:val="none"/>
        </w:rPr>
        <w:t xml:space="preserve">22终止</w:t>
      </w:r>
      <w:bookmarkEnd w:id="80"/>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22.1出现下列情形之一的，采购人或采购代理机构将终止竞争性磋商采购活动，发布项目终止公告并说明原因，重新开展采购活动：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22.1.1因情况变化，不再符合规定的竞争性磋商采购方式适用情形的；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22.1.2出现影响采购公正的违法、违规行为的；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81" w:name="_Toc6442"/>
      <w:r>
        <w:rPr>
          <w:rFonts w:hint="eastAsia" w:ascii="宋体" w:hAnsi="宋体" w:eastAsia="宋体" w:cs="宋体"/>
          <w:b/>
          <w:bCs/>
          <w:color w:val="auto"/>
          <w:sz w:val="24"/>
          <w:szCs w:val="24"/>
          <w:highlight w:val="none"/>
        </w:rPr>
        <w:t xml:space="preserve">23签订合同</w:t>
      </w:r>
      <w:bookmarkEnd w:id="81"/>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23.1采购人与成交供应商应当在成交通知书发出之日起30日内，按照磋商文件确定的合同草案文本以及采购标的、规格型号、采购金额、采购数量、技术和服务要求等事项签订政府采购合同。</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23.2成交供应商拒绝签订政府采购合同的，采购人可以按照评审报告推荐的成交候选人名单排序，确定下一候选人为成交供应商，也可以重新开展采购活动。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拒绝签订政府采购合同的成交供应商不得参加对该项目重新开展的采购活动。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23.3联合体成交的，联合体各方应当共同与采购人签订合同，就采购合同约定的事项向采购人承担连带责任。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23.4政府采购合同不能转包。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23.5采购人允许采用分包方式履行合同的，成交供应商可以依法采取分包方式履行合同。本项目是否允许分包，见《供应商须知前附表》。政府采购合同分包履行的，应当在响应文件中载明分包承担主体，分包承担主体应当具备相应资质条件且不得再次分包，否则</w:t>
      </w:r>
      <w:r>
        <w:rPr>
          <w:rFonts w:hint="eastAsia" w:ascii="宋体" w:hAnsi="宋体" w:eastAsia="宋体" w:cs="宋体"/>
          <w:b/>
          <w:bCs/>
          <w:color w:val="auto"/>
          <w:sz w:val="24"/>
          <w:szCs w:val="24"/>
          <w:highlight w:val="none"/>
          <w:u w:val="single"/>
        </w:rPr>
        <w:t xml:space="preserve">响应无效</w:t>
      </w:r>
      <w:r>
        <w:rPr>
          <w:rFonts w:hint="eastAsia" w:ascii="宋体" w:hAnsi="宋体" w:eastAsia="宋体" w:cs="宋体"/>
          <w:color w:val="auto"/>
          <w:sz w:val="24"/>
          <w:szCs w:val="24"/>
          <w:highlight w:val="none"/>
        </w:rPr>
        <w:t xml:space="preserve">。成交供应商就采购项目和分包项目向采购人负责，分包供应商就分包项目承担责任。</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82" w:name="_Toc6441"/>
      <w:r>
        <w:rPr>
          <w:rFonts w:hint="eastAsia" w:ascii="宋体" w:hAnsi="宋体" w:eastAsia="宋体" w:cs="宋体"/>
          <w:b/>
          <w:bCs/>
          <w:color w:val="auto"/>
          <w:sz w:val="24"/>
          <w:szCs w:val="24"/>
          <w:highlight w:val="none"/>
        </w:rPr>
        <w:t xml:space="preserve">24询问与质疑</w:t>
      </w:r>
      <w:bookmarkEnd w:id="82"/>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24.1询问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24.1.1供应商对政府采购活动事项有疑问的，可依法提出询问，并按《供应商须知前附表》载明的形式送达采购人或采购代理机构。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24.1.2采购人或采购代理机构对供应商依法提出的询问，在3个工作日内作出答复，但答复的内容不得涉及商业秘密。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24.2质疑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24.2.1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24.2.2质疑函须使用财政部制定的范本文件。供应商为自然人的，质疑函应当由本人签字；供应商为法人或者其他组织的，质疑函应当由法定代表人、主要负责人，或者其授权代表签字或者盖章，并加盖公章。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24.2.3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24.2.4供应商应在法定质疑期内一次性提出针对同一采购程序环节的质疑，法定质疑期内针对同一采购程序环节再次提出的质疑，采购人、采购代理机构有权不予答复。</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24.3接受询问和质疑的联系部门、联系电话和通讯地址见《供应商须知前附表》。</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bookmarkStart w:id="83" w:name="_Toc29709"/>
      <w:r>
        <w:rPr>
          <w:rFonts w:hint="eastAsia" w:ascii="宋体" w:hAnsi="宋体" w:eastAsia="宋体" w:cs="宋体"/>
          <w:b/>
          <w:bCs/>
          <w:color w:val="auto"/>
          <w:sz w:val="24"/>
          <w:szCs w:val="24"/>
          <w:highlight w:val="none"/>
        </w:rPr>
        <w:t xml:space="preserve">25代理费</w:t>
      </w:r>
      <w:bookmarkEnd w:id="83"/>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25.1收费对象、收费标准及缴纳时间见《供应商须知前附表》。由成交供应商支付的，成交供应商须一次性向采购代理机构缴纳代理费，报价中综合考虑代理费用。</w:t>
      </w:r>
      <w:r/>
    </w:p>
    <w:p>
      <w:pPr>
        <w:rPr>
          <w:rFonts w:asciiTheme="minorEastAsia" w:hAnsiTheme="minorEastAsia" w:cstheme="minorEastAsia"/>
          <w:color w:val="auto"/>
          <w:sz w:val="24"/>
          <w:highlight w:val="none"/>
        </w:rPr>
      </w:pPr>
      <w:r>
        <w:rPr>
          <w:color w:val="auto"/>
          <w:highlight w:val="none"/>
        </w:rPr>
        <w:br w:type="page" w:clear="all"/>
      </w:r>
      <w:r/>
    </w:p>
    <w:p>
      <w:pPr>
        <w:pStyle w:val="692"/>
        <w:jc w:val="center"/>
        <w:rPr>
          <w:rFonts w:ascii="黑体" w:hAnsi="黑体" w:eastAsia="黑体" w:cs="黑体"/>
          <w:color w:val="auto"/>
          <w:sz w:val="36"/>
          <w:szCs w:val="22"/>
          <w:highlight w:val="none"/>
        </w:rPr>
      </w:pPr>
      <w:r/>
      <w:bookmarkStart w:id="84" w:name="_Toc17197"/>
      <w:r>
        <w:rPr>
          <w:rFonts w:hint="eastAsia" w:ascii="黑体" w:hAnsi="黑体" w:eastAsia="黑体" w:cs="黑体"/>
          <w:color w:val="auto"/>
          <w:sz w:val="36"/>
          <w:szCs w:val="22"/>
          <w:highlight w:val="none"/>
        </w:rPr>
        <w:t xml:space="preserve">第三章  评审方法和评审标准</w:t>
      </w:r>
      <w:bookmarkEnd w:id="84"/>
      <w:r/>
      <w:r/>
    </w:p>
    <w:p>
      <w:pPr>
        <w:jc w:val="center"/>
        <w:spacing w:line="332" w:lineRule="auto"/>
        <w:rPr>
          <w:rFonts w:ascii="黑体" w:hAnsi="黑体" w:eastAsia="黑体" w:cs="黑体"/>
          <w:color w:val="auto"/>
          <w:sz w:val="28"/>
          <w:szCs w:val="28"/>
          <w:highlight w:val="none"/>
        </w:rPr>
        <w:outlineLvl w:val="1"/>
      </w:pPr>
      <w:r/>
      <w:bookmarkStart w:id="85" w:name="_Toc9496"/>
      <w:r>
        <w:rPr>
          <w:rFonts w:hint="eastAsia" w:ascii="黑体" w:hAnsi="黑体" w:eastAsia="黑体" w:cs="黑体"/>
          <w:color w:val="auto"/>
          <w:sz w:val="28"/>
          <w:szCs w:val="28"/>
          <w:highlight w:val="none"/>
        </w:rPr>
        <w:t xml:space="preserve">一、资格及符合性审查程序</w:t>
      </w:r>
      <w:bookmarkEnd w:id="85"/>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1响应文件的资格审查和符合性审查</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hint="eastAsia" w:ascii="宋体" w:hAnsi="宋体" w:eastAsia="宋体" w:cs="宋体"/>
          <w:b/>
          <w:bCs/>
          <w:color w:val="auto"/>
          <w:sz w:val="24"/>
          <w:szCs w:val="24"/>
          <w:highlight w:val="none"/>
          <w:u w:val="single"/>
        </w:rPr>
        <w:t xml:space="preserve">无效响应</w:t>
      </w:r>
      <w:r>
        <w:rPr>
          <w:rFonts w:hint="eastAsia" w:ascii="宋体" w:hAnsi="宋体" w:eastAsia="宋体" w:cs="宋体"/>
          <w:color w:val="auto"/>
          <w:sz w:val="24"/>
          <w:szCs w:val="24"/>
          <w:highlight w:val="none"/>
        </w:rPr>
        <w:t xml:space="preserve">处理，磋商小组应当告知提交响应文件的供应商。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1.2《资格审查要求》中对格式有要求的，除竞争性磋商文件另有规定外，均为“实质性格式”文件。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1.3《资格审查要求》见下表：</w:t>
      </w:r>
      <w:r/>
    </w:p>
    <w:p>
      <w:pPr>
        <w:ind w:firstLine="482"/>
        <w:jc w:val="center"/>
        <w:spacing w:line="332" w:lineRule="auto"/>
        <w:rPr>
          <w:rFonts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资格审查要求</w:t>
      </w:r>
      <w:r/>
    </w:p>
    <w:tbl>
      <w:tblPr>
        <w:tblStyle w:val="736"/>
        <w:tblW w:w="9468"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246"/>
        <w:gridCol w:w="4815"/>
        <w:gridCol w:w="1655"/>
      </w:tblGrid>
      <w:tr>
        <w:trPr>
          <w:trHeight w:val="392"/>
        </w:trPr>
        <w:tc>
          <w:tcPr>
            <w:tcW w:w="752"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24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检查因素</w:t>
            </w:r>
            <w:r/>
          </w:p>
        </w:tc>
        <w:tc>
          <w:tcPr>
            <w:tcW w:w="481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检查内容</w:t>
            </w:r>
            <w:r/>
          </w:p>
        </w:tc>
        <w:tc>
          <w:tcPr>
            <w:tcW w:w="165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格式要求</w:t>
            </w:r>
            <w:r/>
          </w:p>
        </w:tc>
      </w:tr>
      <w:tr>
        <w:trPr/>
        <w:tc>
          <w:tcPr>
            <w:tcW w:w="752"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W w:w="2246" w:type="dxa"/>
            <w:vAlign w:val="center"/>
            <w:textDirection w:val="lrTb"/>
            <w:noWrap w:val="false"/>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满足《中华人民共和国政府采购法》第二十二条规定</w:t>
            </w:r>
            <w:r/>
          </w:p>
        </w:tc>
        <w:tc>
          <w:tcPr>
            <w:tcW w:w="4815" w:type="dxa"/>
            <w:vAlign w:val="center"/>
            <w:textDirection w:val="lrTb"/>
            <w:noWrap w:val="false"/>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具体规定见第一章《竞争性磋商公告》</w:t>
            </w:r>
            <w:r/>
          </w:p>
        </w:tc>
        <w:tc>
          <w:tcPr>
            <w:tcW w:w="16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营业执照等证明文件</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供应商为企业（包括合伙企业）的，应提供有效的“营业执照”；</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供应商为事业单位的，应提供有效的“事业单位法人证书”；</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供应商是非企业机构的，应提供有效的“执业许可证”“登记证书”等证明文件；</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供应商是个体工商户的，应提供有效的“个体工商户营业执照”；</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供应商是自然人的，应提供有效的自然人身份证明。</w:t>
            </w:r>
            <w:r/>
          </w:p>
          <w:p>
            <w:pP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r/>
          </w:p>
          <w:p>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政府采购法第二十二条其他规定要求详见第六章要求。</w:t>
            </w:r>
            <w:r/>
          </w:p>
        </w:tc>
        <w:tc>
          <w:tcPr>
            <w:tcW w:w="16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提供证明文件，详见《响应文件格式》</w:t>
            </w:r>
            <w:r/>
          </w:p>
        </w:tc>
      </w:tr>
      <w:tr>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供应商资格声明书</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提供了符合竞争性磋商文件要求的《供应商资格声明书》。</w:t>
            </w:r>
            <w:r/>
          </w:p>
        </w:tc>
        <w:tc>
          <w:tcPr>
            <w:tcW w:w="16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格式见《响应文件格式》</w:t>
            </w:r>
            <w:r/>
          </w:p>
        </w:tc>
      </w:tr>
      <w:tr>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供应商信用记录</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查询渠道：信用中国网站（www.creditchina.gov.cn）；</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截止时点：首次响应文件提交截止时间以后、资格审查阶段采购人或采购代理机构的实际查询时间；</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信用信息查询记录和证据留存具体方式：查询结果网页打印页作为查询记录和证据，与其他文件一并保存；</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bCs/>
                <w:color w:val="auto"/>
                <w:sz w:val="21"/>
                <w:szCs w:val="21"/>
                <w:highlight w:val="none"/>
                <w:u w:val="single"/>
              </w:rPr>
              <w:t xml:space="preserve">响应无效</w:t>
            </w:r>
            <w:r>
              <w:rPr>
                <w:rFonts w:hint="eastAsia" w:ascii="宋体" w:hAnsi="宋体" w:eastAsia="宋体" w:cs="宋体"/>
                <w:color w:val="auto"/>
                <w:sz w:val="21"/>
                <w:szCs w:val="21"/>
                <w:highlight w:val="none"/>
              </w:rPr>
              <w:t xml:space="preserve">。联合体形式磋商的，联合体成员存在不良信用记录，视同联合体存在不良信用记录。</w:t>
            </w:r>
            <w:r/>
          </w:p>
        </w:tc>
        <w:tc>
          <w:tcPr>
            <w:tcW w:w="16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无需供应商提供，评审时采购人或采购代理机构查询。</w:t>
            </w:r>
            <w:r/>
          </w:p>
        </w:tc>
      </w:tr>
      <w:tr>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法律、行政法规规定的其他条件（无）</w:t>
            </w:r>
            <w:r/>
          </w:p>
        </w:tc>
        <w:tc>
          <w:tcPr>
            <w:tcW w:w="16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c>
          <w:tcPr>
            <w:tcW w:w="752"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tcW w:w="2246" w:type="dxa"/>
            <w:vAlign w:val="center"/>
            <w:textDirection w:val="lrTb"/>
            <w:noWrap w:val="false"/>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落实政府采购政策需满足的资格要求</w:t>
            </w:r>
            <w:r/>
          </w:p>
        </w:tc>
        <w:tc>
          <w:tcPr>
            <w:tcW w:w="4815" w:type="dxa"/>
            <w:vAlign w:val="center"/>
            <w:textDirection w:val="lrTb"/>
            <w:noWrap w:val="false"/>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具体要求见第一章《竞争性磋商公告》</w:t>
            </w:r>
            <w:r/>
          </w:p>
        </w:tc>
        <w:tc>
          <w:tcPr>
            <w:tcW w:w="16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中小企业政策</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具体要求见第一章《竞争性磋商公告》</w:t>
            </w:r>
            <w:r/>
          </w:p>
        </w:tc>
        <w:tc>
          <w:tcPr>
            <w:tcW w:w="16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52"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tcW w:w="2246"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中小企业证明文件</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当本项目（包）涉及预留份额专门面向中小企业采购，提供如下资料：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1、供应商单独响应的，应提供《中小企业声明函》或《残疾人福利性单位声明函》或由省级以上监狱管理局、戒毒管理局（含新疆生产建设兵团）出具的属于监狱企业的证明文件。</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r/>
          </w:p>
        </w:tc>
        <w:tc>
          <w:tcPr>
            <w:tcW w:w="1655"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格式见《响应文件格式》</w:t>
            </w:r>
            <w:r/>
          </w:p>
        </w:tc>
      </w:tr>
      <w:tr>
        <w:trPr/>
        <w:tc>
          <w:tcPr>
            <w:tcW w:w="75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4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如本项目（包）要求通过分包措施预留部分采购份额面向中小企业采购且供应商因落实政府采购政策拟进行分包，必须提供；否则无须提供。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对于预留份额专门面向中小企业采购的项目（包），组成联合体或者接受分包合同的中小企业与联合体内其他企业、分包企业之间不得存在直接控股、管理关系。</w:t>
            </w:r>
            <w:r/>
          </w:p>
        </w:tc>
        <w:tc>
          <w:tcPr>
            <w:tcW w:w="165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其他落实政府采购政策的资格要求</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如有，见第一章《竞争性磋商公告》</w:t>
            </w:r>
            <w:r/>
          </w:p>
        </w:tc>
        <w:tc>
          <w:tcPr>
            <w:tcW w:w="16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提供证明文件</w:t>
            </w:r>
            <w:r/>
          </w:p>
        </w:tc>
      </w:tr>
      <w:tr>
        <w:trPr/>
        <w:tc>
          <w:tcPr>
            <w:tcW w:w="752"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tcW w:w="2246" w:type="dxa"/>
            <w:vAlign w:val="center"/>
            <w:textDirection w:val="lrTb"/>
            <w:noWrap w:val="false"/>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本项目的特定资格要求</w:t>
            </w:r>
            <w:r/>
          </w:p>
        </w:tc>
        <w:tc>
          <w:tcPr>
            <w:tcW w:w="4815" w:type="dxa"/>
            <w:vAlign w:val="center"/>
            <w:textDirection w:val="lrTb"/>
            <w:noWrap w:val="false"/>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如有，见第一章《竞争性磋商公告》</w:t>
            </w:r>
            <w:r/>
          </w:p>
        </w:tc>
        <w:tc>
          <w:tcPr>
            <w:tcW w:w="16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本项目对于联合体的要求（如有）</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2、联合体各成员单位均须提供本表中序号1-1、1-2的证明文件。联合体各成员单位均应满足本表2项规定。</w:t>
            </w:r>
            <w:r/>
          </w:p>
          <w:p>
            <w:pPr>
              <w:pStyle w:val="734"/>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3、联合体组成符合公告“二、申请人的资格要求”中要求。（如有）</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4、联合体中有同类资质的供应商按照联合体分工承担相同工作的，应当按照资质等级较低的供应商确定资质等级。</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5、以联合体形式参加政府采购活动的，联合体各方不得再单独参加或者与其他供应商另外组成联合体参加同一合同项下的政府采购活动。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6、若联合体中任一成员单位中途退出，则该联合体的</w:t>
            </w:r>
            <w:r>
              <w:rPr>
                <w:rFonts w:hint="eastAsia" w:ascii="宋体" w:hAnsi="宋体" w:eastAsia="宋体" w:cs="宋体"/>
                <w:b/>
                <w:bCs/>
                <w:color w:val="auto"/>
                <w:sz w:val="21"/>
                <w:szCs w:val="21"/>
                <w:highlight w:val="none"/>
                <w:u w:val="single"/>
              </w:rPr>
              <w:t xml:space="preserve">响应无效</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7、本项目不接受联合体响应时，供应商不得为联合体。</w:t>
            </w:r>
            <w:r/>
          </w:p>
        </w:tc>
        <w:tc>
          <w:tcPr>
            <w:tcW w:w="16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提供《联合协议》原件，格式见《响应文件格式》</w:t>
            </w:r>
            <w:r/>
          </w:p>
        </w:tc>
      </w:tr>
      <w:tr>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政府购买服务承接主体的要求</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如本项目属于政府购买服务，供应商不属于公益一类事业单位、使用事业编制且由财政拨款保障的群团组织。</w:t>
            </w:r>
            <w:r/>
          </w:p>
        </w:tc>
        <w:tc>
          <w:tcPr>
            <w:tcW w:w="16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格式见《响应文件格式》</w:t>
            </w:r>
            <w:r/>
          </w:p>
        </w:tc>
      </w:tr>
      <w:tr>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其他特定资格要求</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如有，见第一章《竞争性磋商公告》</w:t>
            </w:r>
            <w:r/>
          </w:p>
        </w:tc>
        <w:tc>
          <w:tcPr>
            <w:tcW w:w="16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提供证明文件</w:t>
            </w:r>
            <w:r/>
          </w:p>
        </w:tc>
      </w:tr>
      <w:tr>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磋商保证金</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按照竞争性磋商文件的要求提交磋商保证金。</w:t>
            </w:r>
            <w:r/>
          </w:p>
        </w:tc>
        <w:tc>
          <w:tcPr>
            <w:tcW w:w="16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60"/>
        <w:keepLines w:val="0"/>
        <w:keepNext w:val="0"/>
        <w:pageBreakBefore w:val="0"/>
        <w:spacing w:line="520" w:lineRule="exact"/>
        <w:widowControl w:val="off"/>
        <w:rPr>
          <w:rFonts w:asciiTheme="minorEastAsia" w:hAnsiTheme="minorEastAsia" w:cstheme="minorEastAsia"/>
          <w:color w:val="auto"/>
          <w:sz w:val="23"/>
          <w:szCs w:val="23"/>
          <w:highlight w:val="none"/>
        </w:rPr>
      </w:pPr>
      <w:r>
        <w:rPr>
          <w:rFonts w:hint="eastAsia" w:asciiTheme="minorEastAsia" w:hAnsiTheme="minorEastAsia" w:cstheme="minorEastAsia"/>
          <w:color w:val="auto"/>
          <w:sz w:val="23"/>
          <w:szCs w:val="23"/>
          <w:highlight w:val="none"/>
        </w:rPr>
        <w:t xml:space="preserve">1.4《符合性审查要求》见下表：</w:t>
      </w:r>
      <w:r/>
    </w:p>
    <w:p>
      <w:pPr>
        <w:ind w:firstLine="482"/>
        <w:jc w:val="center"/>
        <w:spacing w:line="332" w:lineRule="auto"/>
        <w:rPr>
          <w:rFonts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符合性审查要求</w:t>
      </w:r>
      <w:r/>
    </w:p>
    <w:tbl>
      <w:tblPr>
        <w:tblStyle w:val="736"/>
        <w:tblW w:w="946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2246"/>
        <w:gridCol w:w="4815"/>
        <w:gridCol w:w="1665"/>
      </w:tblGrid>
      <w:tr>
        <w:trPr/>
        <w:tc>
          <w:tcPr>
            <w:tcW w:w="741"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24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检查因素</w:t>
            </w:r>
            <w:r/>
          </w:p>
        </w:tc>
        <w:tc>
          <w:tcPr>
            <w:tcW w:w="481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检查内容</w:t>
            </w:r>
            <w:r/>
          </w:p>
        </w:tc>
        <w:tc>
          <w:tcPr>
            <w:tcW w:w="166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是否允许澄清、说明或者更正</w:t>
            </w:r>
            <w:r/>
          </w:p>
        </w:tc>
      </w:tr>
      <w:tr>
        <w:trPr>
          <w:trHeight w:val="90"/>
        </w:trPr>
        <w:tc>
          <w:tcPr>
            <w:tcW w:w="741" w:type="dxa"/>
            <w:vAlign w:val="center"/>
            <w:textDirection w:val="lrTb"/>
            <w:noWrap w:val="false"/>
          </w:tcPr>
          <w:p>
            <w:pPr>
              <w:jc w:val="center"/>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46"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授权委托书</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按采购文件要求提供授权委托书；</w:t>
            </w:r>
            <w:r/>
          </w:p>
        </w:tc>
        <w:tc>
          <w:tcPr>
            <w:tcW w:w="1665" w:type="dxa"/>
            <w:vAlign w:val="center"/>
            <w:textDirection w:val="lrTb"/>
            <w:noWrap w:val="false"/>
          </w:tcPr>
          <w:p>
            <w:pPr>
              <w:ind w:firstLine="460"/>
              <w:jc w:val="left"/>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r>
      <w:tr>
        <w:trPr>
          <w:trHeight w:val="90"/>
        </w:trPr>
        <w:tc>
          <w:tcPr>
            <w:tcW w:w="741" w:type="dxa"/>
            <w:vAlign w:val="center"/>
            <w:textDirection w:val="lrTb"/>
            <w:noWrap w:val="false"/>
          </w:tcPr>
          <w:p>
            <w:pPr>
              <w:jc w:val="center"/>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46"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响应完整性</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未将一个采购包中的内容拆分响应；</w:t>
            </w:r>
            <w:r/>
          </w:p>
        </w:tc>
        <w:tc>
          <w:tcPr>
            <w:tcW w:w="1665" w:type="dxa"/>
            <w:vAlign w:val="center"/>
            <w:textDirection w:val="lrTb"/>
            <w:noWrap w:val="false"/>
          </w:tcPr>
          <w:p>
            <w:pPr>
              <w:ind w:firstLine="460"/>
              <w:jc w:val="left"/>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r>
      <w:tr>
        <w:trPr>
          <w:trHeight w:val="90"/>
        </w:trPr>
        <w:tc>
          <w:tcPr>
            <w:tcW w:w="741" w:type="dxa"/>
            <w:vAlign w:val="center"/>
            <w:textDirection w:val="lrTb"/>
            <w:noWrap w:val="false"/>
          </w:tcPr>
          <w:p>
            <w:pPr>
              <w:jc w:val="center"/>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响应报价</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首次报价未超过采购文件中规定的项目/采购包预算金额或者项目/采购包最高限价；</w:t>
            </w:r>
            <w:r/>
          </w:p>
        </w:tc>
        <w:tc>
          <w:tcPr>
            <w:tcW w:w="1665" w:type="dxa"/>
            <w:vAlign w:val="center"/>
            <w:textDirection w:val="lrTb"/>
            <w:noWrap w:val="false"/>
          </w:tcPr>
          <w:p>
            <w:pPr>
              <w:ind w:firstLine="460"/>
              <w:jc w:val="left"/>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r>
      <w:tr>
        <w:trPr>
          <w:trHeight w:val="90"/>
        </w:trPr>
        <w:tc>
          <w:tcPr>
            <w:tcW w:w="741" w:type="dxa"/>
            <w:vAlign w:val="center"/>
            <w:textDirection w:val="lrTb"/>
            <w:noWrap w:val="false"/>
          </w:tcPr>
          <w:p>
            <w:pPr>
              <w:jc w:val="center"/>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报价唯一性</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响应文件未出现可选择性或可调整的报价（采购文件另有规定的除外）；</w:t>
            </w:r>
            <w:r/>
          </w:p>
        </w:tc>
        <w:tc>
          <w:tcPr>
            <w:tcW w:w="1665" w:type="dxa"/>
            <w:vAlign w:val="center"/>
            <w:textDirection w:val="lrTb"/>
            <w:noWrap w:val="false"/>
          </w:tcPr>
          <w:p>
            <w:pPr>
              <w:ind w:firstLine="460"/>
              <w:jc w:val="left"/>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r>
      <w:tr>
        <w:trPr>
          <w:trHeight w:val="90"/>
        </w:trPr>
        <w:tc>
          <w:tcPr>
            <w:tcW w:w="741" w:type="dxa"/>
            <w:vAlign w:val="center"/>
            <w:textDirection w:val="lrTb"/>
            <w:noWrap w:val="false"/>
          </w:tcPr>
          <w:p>
            <w:pPr>
              <w:jc w:val="center"/>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响应有效期</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响应文件中承诺的响应有效期满足采购文件中载明的响应有效期的；</w:t>
            </w:r>
            <w:r/>
          </w:p>
        </w:tc>
        <w:tc>
          <w:tcPr>
            <w:tcW w:w="1665" w:type="dxa"/>
            <w:vAlign w:val="center"/>
            <w:textDirection w:val="lrTb"/>
            <w:noWrap w:val="false"/>
          </w:tcPr>
          <w:p>
            <w:pPr>
              <w:ind w:firstLine="460"/>
              <w:jc w:val="left"/>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r>
      <w:tr>
        <w:trPr>
          <w:trHeight w:val="90"/>
        </w:trPr>
        <w:tc>
          <w:tcPr>
            <w:tcW w:w="741" w:type="dxa"/>
            <w:vAlign w:val="center"/>
            <w:textDirection w:val="lrTb"/>
            <w:noWrap w:val="false"/>
          </w:tcPr>
          <w:p>
            <w:pPr>
              <w:jc w:val="center"/>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实质性格式</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标记为“实质性格式”的文件均按采购文件要求提供且签署、盖章的；</w:t>
            </w:r>
            <w:r/>
          </w:p>
        </w:tc>
        <w:tc>
          <w:tcPr>
            <w:tcW w:w="1665" w:type="dxa"/>
            <w:vAlign w:val="center"/>
            <w:textDirection w:val="lrTb"/>
            <w:noWrap w:val="false"/>
          </w:tcPr>
          <w:p>
            <w:pPr>
              <w:ind w:firstLine="460"/>
              <w:jc w:val="left"/>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r>
      <w:tr>
        <w:trPr>
          <w:trHeight w:val="90"/>
        </w:trPr>
        <w:tc>
          <w:tcPr>
            <w:tcW w:w="741" w:type="dxa"/>
            <w:vAlign w:val="center"/>
            <w:textDirection w:val="lrTb"/>
            <w:noWrap w:val="false"/>
          </w:tcPr>
          <w:p>
            <w:pPr>
              <w:jc w:val="center"/>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★号条款响应</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响应文件满足第四章《采购需求》中★号条款要求的；</w:t>
            </w:r>
            <w:r/>
          </w:p>
        </w:tc>
        <w:tc>
          <w:tcPr>
            <w:tcW w:w="1665" w:type="dxa"/>
            <w:vAlign w:val="center"/>
            <w:textDirection w:val="lrTb"/>
            <w:noWrap w:val="false"/>
          </w:tcPr>
          <w:p>
            <w:pPr>
              <w:ind w:firstLine="460"/>
              <w:jc w:val="left"/>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r>
      <w:tr>
        <w:trPr>
          <w:trHeight w:val="90"/>
        </w:trPr>
        <w:tc>
          <w:tcPr>
            <w:tcW w:w="741" w:type="dxa"/>
            <w:vAlign w:val="center"/>
            <w:textDirection w:val="lrTb"/>
            <w:noWrap w:val="false"/>
          </w:tcPr>
          <w:p>
            <w:pPr>
              <w:jc w:val="center"/>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报价的修正（如有）</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不涉及报价修正，或响应文件首次报价出现前后不一致时，供应商对修正后的报价予以确认；（如有）</w:t>
            </w:r>
            <w:r/>
          </w:p>
        </w:tc>
        <w:tc>
          <w:tcPr>
            <w:tcW w:w="1665" w:type="dxa"/>
            <w:vAlign w:val="center"/>
            <w:textDirection w:val="lrTb"/>
            <w:noWrap w:val="false"/>
          </w:tcPr>
          <w:p>
            <w:pPr>
              <w:ind w:firstLine="460"/>
              <w:jc w:val="left"/>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w:t>
            </w:r>
            <w:r/>
          </w:p>
        </w:tc>
      </w:tr>
      <w:tr>
        <w:trPr>
          <w:trHeight w:val="90"/>
        </w:trPr>
        <w:tc>
          <w:tcPr>
            <w:tcW w:w="741" w:type="dxa"/>
            <w:vAlign w:val="center"/>
            <w:textDirection w:val="lrTb"/>
            <w:noWrap w:val="false"/>
          </w:tcPr>
          <w:p>
            <w:pPr>
              <w:jc w:val="center"/>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报价合理性</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报价合理，或供应商的报价明显低于其他通过符合性审查供应商的报价，有可能影响产品质量或者不能诚信履约的，能够应评标委员会要求在规定时间内证明其报价合理性的；</w:t>
            </w:r>
            <w:r/>
          </w:p>
        </w:tc>
        <w:tc>
          <w:tcPr>
            <w:tcW w:w="1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w:t>
            </w:r>
            <w:r/>
          </w:p>
        </w:tc>
      </w:tr>
      <w:tr>
        <w:trPr>
          <w:trHeight w:val="90"/>
        </w:trPr>
        <w:tc>
          <w:tcPr>
            <w:tcW w:w="741" w:type="dxa"/>
            <w:vAlign w:val="center"/>
            <w:textDirection w:val="lrTb"/>
            <w:noWrap w:val="false"/>
          </w:tcPr>
          <w:p>
            <w:pPr>
              <w:jc w:val="center"/>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公平竞争</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供应商遵循公平竞争的原则，不存在恶意串通，妨碍其他供应商的竞争行为，不存在损害采购人或者其他供应商的合法权益情形的；</w:t>
            </w:r>
            <w:r/>
          </w:p>
        </w:tc>
        <w:tc>
          <w:tcPr>
            <w:tcW w:w="1665" w:type="dxa"/>
            <w:vAlign w:val="center"/>
            <w:textDirection w:val="lrTb"/>
            <w:noWrap w:val="false"/>
          </w:tcPr>
          <w:p>
            <w:pPr>
              <w:ind w:firstLine="460"/>
              <w:jc w:val="left"/>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r>
      <w:tr>
        <w:trPr>
          <w:trHeight w:val="90"/>
        </w:trPr>
        <w:tc>
          <w:tcPr>
            <w:tcW w:w="741" w:type="dxa"/>
            <w:vAlign w:val="center"/>
            <w:textDirection w:val="lrTb"/>
            <w:noWrap w:val="false"/>
          </w:tcPr>
          <w:p>
            <w:pPr>
              <w:jc w:val="center"/>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串通投标（此处“投标人”同“供应商”，“投标文件”同“响应文件”，“投标”同“响应”等）</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存在以下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W w:w="1665" w:type="dxa"/>
            <w:vAlign w:val="center"/>
            <w:textDirection w:val="lrTb"/>
            <w:noWrap w:val="false"/>
          </w:tcPr>
          <w:p>
            <w:pPr>
              <w:ind w:firstLine="460"/>
              <w:jc w:val="left"/>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r>
      <w:tr>
        <w:trPr>
          <w:trHeight w:val="90"/>
        </w:trPr>
        <w:tc>
          <w:tcPr>
            <w:tcW w:w="741" w:type="dxa"/>
            <w:vAlign w:val="center"/>
            <w:textDirection w:val="lrTb"/>
            <w:noWrap w:val="false"/>
          </w:tcPr>
          <w:p>
            <w:pPr>
              <w:jc w:val="center"/>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附加条件</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响应文件未含有采购人不能接受的附加条件的；</w:t>
            </w:r>
            <w:r/>
          </w:p>
        </w:tc>
        <w:tc>
          <w:tcPr>
            <w:tcW w:w="1665" w:type="dxa"/>
            <w:vAlign w:val="center"/>
            <w:textDirection w:val="lrTb"/>
            <w:noWrap w:val="false"/>
          </w:tcPr>
          <w:p>
            <w:pPr>
              <w:ind w:firstLine="460"/>
              <w:jc w:val="left"/>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r>
      <w:tr>
        <w:trPr>
          <w:trHeight w:val="90"/>
        </w:trPr>
        <w:tc>
          <w:tcPr>
            <w:tcW w:w="741" w:type="dxa"/>
            <w:vAlign w:val="center"/>
            <w:textDirection w:val="lrTb"/>
            <w:noWrap w:val="false"/>
          </w:tcPr>
          <w:p>
            <w:pPr>
              <w:jc w:val="center"/>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2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其他无效情形</w:t>
            </w:r>
            <w:r/>
          </w:p>
        </w:tc>
        <w:tc>
          <w:tcPr>
            <w:tcW w:w="481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供应商、响应文件不存在不符合法律法规和违反采购文件规定的其他情形。</w:t>
            </w:r>
            <w:r/>
          </w:p>
        </w:tc>
        <w:tc>
          <w:tcPr>
            <w:tcW w:w="1665" w:type="dxa"/>
            <w:vAlign w:val="center"/>
            <w:textDirection w:val="lrTb"/>
            <w:noWrap w:val="false"/>
          </w:tcPr>
          <w:p>
            <w:pPr>
              <w:ind w:firstLine="460"/>
              <w:jc w:val="left"/>
              <w:spacing w:line="33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w:t>
            </w:r>
            <w:r/>
          </w:p>
        </w:tc>
      </w:tr>
    </w:tbl>
    <w:p>
      <w:pPr>
        <w:jc w:val="center"/>
        <w:spacing w:line="360" w:lineRule="auto"/>
        <w:widowControl/>
        <w:rPr>
          <w:rFonts w:ascii="黑体" w:hAnsi="黑体" w:eastAsia="黑体" w:cs="黑体"/>
          <w:color w:val="auto"/>
          <w:sz w:val="28"/>
          <w:szCs w:val="28"/>
          <w:highlight w:val="none"/>
        </w:rPr>
        <w:outlineLvl w:val="1"/>
      </w:pPr>
      <w:r/>
      <w:bookmarkStart w:id="86" w:name="_Toc1379"/>
      <w:r/>
      <w:bookmarkStart w:id="87" w:name="_Toc29437"/>
      <w:r>
        <w:rPr>
          <w:rFonts w:hint="eastAsia" w:ascii="黑体" w:hAnsi="黑体" w:eastAsia="黑体" w:cs="黑体"/>
          <w:color w:val="auto"/>
          <w:sz w:val="28"/>
          <w:szCs w:val="28"/>
          <w:highlight w:val="none"/>
        </w:rPr>
        <w:t xml:space="preserve">二、磋商</w:t>
      </w:r>
      <w:bookmarkEnd w:id="86"/>
      <w:r/>
      <w:bookmarkEnd w:id="87"/>
      <w:r/>
      <w:r/>
    </w:p>
    <w:p>
      <w:pPr>
        <w:ind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2磋商、响应文件有关事项的澄清、说明或者更正和最后报价</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2.1磋商小组所有成员将集中与单一供应商分别进行磋商，并给予所有参加磋商的供应商平等的磋商机会。各供应商保持手机畅通、及时关注“苏采云”系统。</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2.3对磋商文件作出的实质性变动是磋商文件的有效组成部分，磋商小组应当及时以书面形式同时通知所有参加磋商的供应商。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2.5响应文件的澄清、说明或者更正：</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2.5.1磋商小组在对响应文件的有效性、完整性和响应程度进行审查时，可以要求供应商对响应文件中含义不明确、同类问题表述不一致或者有明显文字和计算错误的内容等作出必要的澄清、说明或者更正。</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磋商小组对响应文件进行审查，如发现供应商提交的响应文件存在不满足《符合性审查要求》的内容，如属于表中“不允许”澄清、说明或者更正的内容，则供应商响应文件按无效处理；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无效处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供应商的澄清、说明或者更正不得超出响应文件的范围或者改变响应文件的实质性内容。需要供应商进行澄清、说明和补正的，本项目供应商的澄清、说明或者补正采用线上澄清，磋商小组将通过“苏采云”系统向供应商发出“澄清要求函”，接到“澄清要求函”的供应商应当按照要求在规定时间内通过“苏采云”系统中提交“澄清响应函”并加盖CA电子公章。澄清、说明和补正的内容作为投标文件的补充部分，供应商接到磋商小组澄清、说明和更正要求的供应商如未按规定做出澄清、说明和更正，其风险由供应商自行承担。</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2.6磋商结束后，磋商小组将要求所有实质性响应的供应商在规定时间内提交最后报价。最后报价时间为磋商小组指定的时间，具体时间根据磋商进度另行通知。</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2.7磋商文件能够详细列明采购标的的技术、服务要求的，磋商结束后，磋商小组应当</w:t>
      </w:r>
      <w:r>
        <w:rPr>
          <w:rFonts w:hint="eastAsia" w:ascii="宋体" w:hAnsi="宋体" w:eastAsia="宋体" w:cs="宋体"/>
          <w:color w:val="auto"/>
          <w:sz w:val="24"/>
          <w:szCs w:val="24"/>
          <w:highlight w:val="none"/>
        </w:rPr>
        <w:t xml:space="preserve">要求所有实质性响应的供应商在规定时间内提交最后报价，提交最后报价的供应商不得少于3家。磋商文件不能详细列明采购标的的技术、服务要求，需经磋商由供应商提供最终设计方案或解决方案的，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2.8最后报价是供应商响应文件的有效组成部分。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2.9已提交响应文件的供应商，在提交最后报价之前，可以根据磋商情况退出磋商，其磋商响应按</w:t>
      </w:r>
      <w:r>
        <w:rPr>
          <w:rFonts w:hint="eastAsia" w:ascii="宋体" w:hAnsi="宋体" w:eastAsia="宋体" w:cs="宋体"/>
          <w:b/>
          <w:bCs/>
          <w:color w:val="auto"/>
          <w:sz w:val="24"/>
          <w:szCs w:val="24"/>
          <w:highlight w:val="none"/>
          <w:u w:val="single"/>
        </w:rPr>
        <w:t xml:space="preserve">响应无效</w:t>
      </w:r>
      <w:r>
        <w:rPr>
          <w:rFonts w:hint="eastAsia" w:ascii="宋体" w:hAnsi="宋体" w:eastAsia="宋体" w:cs="宋体"/>
          <w:color w:val="auto"/>
          <w:sz w:val="24"/>
          <w:szCs w:val="24"/>
          <w:highlight w:val="none"/>
        </w:rPr>
        <w:t xml:space="preserve">处理。</w:t>
      </w:r>
      <w:r/>
    </w:p>
    <w:p>
      <w:pPr>
        <w:ind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各供应商应及时关注“苏采云”系统，且保持电话畅通，未及时在“苏采云”系统中作出响应，造成的不利后果，由供应商自行承担。</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操作方式见《操作手册》网址链接http://www.ccgp-jiangsu.gov.cn//webfile/jiangsu/202311/1699268553318052447.pdf。</w:t>
      </w:r>
      <w:r/>
    </w:p>
    <w:p>
      <w:pPr>
        <w:ind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3最后报价的算术修正及政策调整</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最后报价须包含竞争性磋商文件全部内容，如最后分项报价表（如有）有缺漏视为已含在其他各项报价中，将不对最后报价进行调整。磋商小组有权要求供应商在合理的时间内对此进行书面确认，供应商不确认的，视为将一个采购包中的内容拆分响应，其</w:t>
      </w:r>
      <w:r>
        <w:rPr>
          <w:rFonts w:hint="eastAsia" w:ascii="宋体" w:hAnsi="宋体" w:eastAsia="宋体" w:cs="宋体"/>
          <w:b/>
          <w:bCs/>
          <w:color w:val="auto"/>
          <w:sz w:val="24"/>
          <w:szCs w:val="24"/>
          <w:highlight w:val="none"/>
          <w:u w:val="single"/>
        </w:rPr>
        <w:t xml:space="preserve">响应无效</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3.2最后报价出现前后不一致的，按照下列规定修正：</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竞争性磋商文件对于报价修正是否另有规定：</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☒有，具体规定为：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☑无，按下述 3.2.2-3.2.5 项规定修正。</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3.2.2大写金额和小写金额不一致的，以大写金额为准；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3.2.3单价金额小数点或者百分比有明显错位的，以总价为准，并修改单价；</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3.2.4总价金额与按单价汇总金额不一致的，以单价金额计算结果为准。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3.2.5同时出现两种以上不一致的，按照前款规定的顺序修正。修正后的报价经供应商书面确认后产生约束力，供应商不确认的，其</w:t>
      </w:r>
      <w:r>
        <w:rPr>
          <w:rFonts w:hint="eastAsia" w:ascii="宋体" w:hAnsi="宋体" w:eastAsia="宋体" w:cs="宋体"/>
          <w:b/>
          <w:bCs/>
          <w:color w:val="auto"/>
          <w:sz w:val="24"/>
          <w:szCs w:val="24"/>
          <w:highlight w:val="none"/>
          <w:u w:val="single"/>
        </w:rPr>
        <w:t xml:space="preserve">响应无效</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落实政府采购政策的价格调整：本项目专门面向中小企业，评审时价格不予扣除。</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3.3.1对于未预留份额专门面向中小企业采购的采购项目，以及预留份额项目中的非预留部分采购包，对小微企业报价给予</w:t>
      </w:r>
      <w:r>
        <w:rPr>
          <w:rFonts w:hint="eastAsia" w:ascii="宋体" w:hAnsi="宋体" w:eastAsia="宋体" w:cs="宋体"/>
          <w:b/>
          <w:bCs/>
          <w:color w:val="auto"/>
          <w:sz w:val="24"/>
          <w:szCs w:val="24"/>
          <w:highlight w:val="none"/>
        </w:rPr>
        <w:t xml:space="preserve">10</w:t>
      </w:r>
      <w:r>
        <w:rPr>
          <w:rFonts w:hint="eastAsia" w:ascii="宋体" w:hAnsi="宋体" w:eastAsia="宋体" w:cs="宋体"/>
          <w:color w:val="auto"/>
          <w:sz w:val="24"/>
          <w:szCs w:val="24"/>
          <w:highlight w:val="none"/>
        </w:rPr>
        <w:t xml:space="preserve">%的扣除，用扣除后的价格参加评审。</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eastAsia="宋体" w:cs="宋体"/>
          <w:b/>
          <w:bCs/>
          <w:color w:val="auto"/>
          <w:sz w:val="24"/>
          <w:szCs w:val="24"/>
          <w:highlight w:val="none"/>
        </w:rPr>
        <w:t xml:space="preserve">10</w:t>
      </w:r>
      <w:r>
        <w:rPr>
          <w:rFonts w:hint="eastAsia" w:ascii="宋体" w:hAnsi="宋体" w:eastAsia="宋体" w:cs="宋体"/>
          <w:color w:val="auto"/>
          <w:sz w:val="24"/>
          <w:szCs w:val="24"/>
          <w:highlight w:val="none"/>
        </w:rPr>
        <w:t xml:space="preserve">%的扣除，用扣除后的价格参加评审。</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3.3.3组成联合体或者接受分包的小微企业与联合体内其他企业、分包企业之间存在直接控股、管理关系的，不享受价格扣除优惠政策。</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3.3.4价格扣除比例对小型企业和微型企业同等对待，不作区分。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3.3.5中小企业参加政府采购活动，应当按照竞争性磋商文件给定的格式出具《中小企业声明函》，否则不得享受相关中小企业扶持政策。</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3.3.6监狱企业提供了由省级以上监狱管理局、戒毒管理局（含新疆生产建设兵团）出具的属于监狱企业的证明文件的，视同小微企业。</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3.3.7残疾人福利性单位按竞争性磋商文件要求提供了《残疾人福利性单位声明函》的，视同小微企业。</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3.3.8若供应商同时属于小型或微型企业、监狱企业、残疾人福利性单位中的两种及以上，将不重复享受小微企业价格扣减的优惠政策。</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3.3.9其他为落实政府采购政策实施的优先采购：</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 磋商环节及提交最后报价后如出现以下情况的，供应商的</w:t>
      </w:r>
      <w:r>
        <w:rPr>
          <w:rFonts w:hint="eastAsia" w:ascii="宋体" w:hAnsi="宋体" w:eastAsia="宋体" w:cs="宋体"/>
          <w:b/>
          <w:bCs/>
          <w:color w:val="auto"/>
          <w:sz w:val="24"/>
          <w:szCs w:val="24"/>
          <w:highlight w:val="none"/>
          <w:u w:val="single"/>
        </w:rPr>
        <w:t xml:space="preserve">响应文件无效</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4.1供应商对实质性变动不予确认的；</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4.2不满足磋商文件★号条款；</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4.3未按照磋商小组规定的时间、逾期提交最后报价的；</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4.4如供应商的最后报价超过竞争性磋商文件中规定的项目/采购包预算金额或者项目/采购包最高限价的；</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4.5响应文件中出现可选择性或可调整的报价的（竞争性磋商文件另有规定的除外）；</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4.6最后报价出现前后不一致，供应商对修正后的报价不予确认的；</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4.7其他：</w:t>
      </w:r>
      <w:r>
        <w:rPr>
          <w:rFonts w:hint="eastAsia" w:ascii="宋体" w:hAnsi="宋体" w:eastAsia="宋体" w:cs="宋体"/>
          <w:color w:val="auto"/>
          <w:sz w:val="24"/>
          <w:szCs w:val="24"/>
          <w:highlight w:val="none"/>
          <w:u w:val="single"/>
        </w:rPr>
        <w:t xml:space="preserve">磋商小组认为供应商的报价明显低于其他通过符合性审查的供应商的报价，有可能影响产品质量或者不能诚信履约的，应当要求其在合理的时间内提供说明，必要时提交相关证明材料；供应商不能证明其报价合理性的，磋商小组</w:t>
      </w:r>
      <w:r>
        <w:rPr>
          <w:rFonts w:hint="eastAsia" w:ascii="宋体" w:hAnsi="宋体" w:eastAsia="宋体" w:cs="宋体"/>
          <w:color w:val="auto"/>
          <w:sz w:val="24"/>
          <w:szCs w:val="24"/>
          <w:highlight w:val="none"/>
          <w:u w:val="single"/>
          <w:lang w:val="en-US" w:eastAsia="zh-CN"/>
        </w:rPr>
        <w:t xml:space="preserve">可</w:t>
      </w:r>
      <w:r>
        <w:rPr>
          <w:rFonts w:hint="eastAsia" w:ascii="宋体" w:hAnsi="宋体" w:eastAsia="宋体" w:cs="宋体"/>
          <w:color w:val="auto"/>
          <w:sz w:val="24"/>
          <w:szCs w:val="24"/>
          <w:highlight w:val="none"/>
          <w:u w:val="none"/>
        </w:rPr>
        <w:t xml:space="preserve">将其</w:t>
      </w:r>
      <w:r>
        <w:rPr>
          <w:rFonts w:hint="eastAsia" w:ascii="宋体" w:hAnsi="宋体" w:eastAsia="宋体" w:cs="宋体"/>
          <w:color w:val="auto"/>
          <w:sz w:val="24"/>
          <w:szCs w:val="24"/>
          <w:highlight w:val="none"/>
          <w:u w:val="none"/>
          <w:lang w:val="en-US" w:eastAsia="zh-CN"/>
        </w:rPr>
        <w:t xml:space="preserve">视为恶意低价竞争，</w:t>
      </w:r>
      <w:r>
        <w:rPr>
          <w:rFonts w:hint="eastAsia" w:ascii="宋体" w:hAnsi="宋体" w:eastAsia="宋体" w:cs="宋体"/>
          <w:color w:val="auto"/>
          <w:sz w:val="24"/>
          <w:szCs w:val="24"/>
          <w:highlight w:val="none"/>
          <w:u w:val="none"/>
        </w:rPr>
        <w:t xml:space="preserve">作为无效</w:t>
      </w:r>
      <w:r>
        <w:rPr>
          <w:rFonts w:hint="eastAsia" w:ascii="宋体" w:hAnsi="宋体" w:eastAsia="宋体" w:cs="宋体"/>
          <w:color w:val="auto"/>
          <w:sz w:val="24"/>
          <w:szCs w:val="24"/>
          <w:highlight w:val="none"/>
          <w:u w:val="none"/>
          <w:lang w:val="en-US" w:eastAsia="zh-CN"/>
        </w:rPr>
        <w:t xml:space="preserve">报价</w:t>
      </w:r>
      <w:r>
        <w:rPr>
          <w:rFonts w:hint="eastAsia" w:ascii="宋体" w:hAnsi="宋体" w:eastAsia="宋体" w:cs="宋体"/>
          <w:color w:val="auto"/>
          <w:sz w:val="24"/>
          <w:szCs w:val="24"/>
          <w:highlight w:val="none"/>
          <w:u w:val="none"/>
        </w:rPr>
        <w:t xml:space="preserve">处理</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各供应商应及时关注电子平台。</w:t>
      </w:r>
      <w:r/>
    </w:p>
    <w:p>
      <w:pPr>
        <w:ind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 评审方法和评审标准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5.1本项目采用的评审方法为：综合评分法。综合评分法，是指响应文件满足磋商文件全部实质性要求且按评审因素的量化指标评审得分最高的供应商为成交候选供应商的评审方法。</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5.2竞争性磋商文件中没有规定的评审标准不得作为评审依据。</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5.3非政府强制采购的节能产品或环境标志产品，依据品目清单和认证证书实施政府优先采购。优先采购的具体规定（如涉及）</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5.4关于无线局域网认证产品政府采购清单中的产品，优先采购的具体规定（如涉及）</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 确定成交候选人名单</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6.2磋商小组根据上述供应商排序，依次推荐排序前</w:t>
      </w:r>
      <w:r>
        <w:rPr>
          <w:rFonts w:hint="eastAsia" w:ascii="宋体" w:hAnsi="宋体" w:eastAsia="宋体" w:cs="宋体"/>
          <w:color w:val="auto"/>
          <w:sz w:val="24"/>
          <w:szCs w:val="24"/>
          <w:highlight w:val="none"/>
          <w:u w:val="single"/>
        </w:rPr>
        <w:t xml:space="preserve">1-3 名</w:t>
      </w:r>
      <w:r>
        <w:rPr>
          <w:rFonts w:hint="eastAsia" w:ascii="宋体" w:hAnsi="宋体" w:eastAsia="宋体" w:cs="宋体"/>
          <w:color w:val="auto"/>
          <w:sz w:val="24"/>
          <w:szCs w:val="24"/>
          <w:highlight w:val="none"/>
        </w:rPr>
        <w:t xml:space="preserve">的供应商为成交候选供应商（若在磋商文件允许的情形下提交最后报价的供应商为两家，则依次推荐两名供应商为成交候选供应商），并编写评审报告。</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6.3磋商小组要对评分汇总情况进行复核，特别是对排名第一的、报价最低的、响应文件被认定为无效的情形进行重点复核。</w:t>
      </w:r>
      <w:r/>
    </w:p>
    <w:p>
      <w:pPr>
        <w:ind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报告违法行为</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磋商小组在评审过程中发现供应商有行贿、提供虚假材料或者串通等违法行为时，有向采购人、采购代理机构或者有关部门报告的职责。</w:t>
      </w:r>
      <w:r/>
    </w:p>
    <w:p>
      <w:pPr>
        <w:jc w:val="center"/>
        <w:spacing w:line="360" w:lineRule="auto"/>
        <w:widowControl/>
        <w:rPr>
          <w:rFonts w:ascii="黑体" w:hAnsi="黑体" w:eastAsia="黑体" w:cs="黑体"/>
          <w:color w:val="auto"/>
          <w:sz w:val="28"/>
          <w:szCs w:val="28"/>
          <w:highlight w:val="none"/>
        </w:rPr>
        <w:outlineLvl w:val="1"/>
      </w:pPr>
      <w:r>
        <w:rPr>
          <w:color w:val="auto"/>
          <w:highlight w:val="none"/>
        </w:rPr>
        <w:br w:type="page" w:clear="all"/>
      </w:r>
      <w:bookmarkStart w:id="88" w:name="_Toc13967"/>
      <w:r>
        <w:rPr>
          <w:rFonts w:hint="eastAsia" w:ascii="黑体" w:hAnsi="黑体" w:eastAsia="黑体" w:cs="黑体"/>
          <w:color w:val="auto"/>
          <w:sz w:val="28"/>
          <w:szCs w:val="28"/>
          <w:highlight w:val="none"/>
        </w:rPr>
        <w:t xml:space="preserve">三、评审标准</w:t>
      </w:r>
      <w:bookmarkEnd w:id="88"/>
      <w:r/>
      <w:r/>
    </w:p>
    <w:tbl>
      <w:tblPr>
        <w:tblStyle w:val="736"/>
        <w:tblW w:w="9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946"/>
        <w:gridCol w:w="757"/>
        <w:gridCol w:w="6107"/>
        <w:gridCol w:w="1402"/>
      </w:tblGrid>
      <w:tr>
        <w:trPr>
          <w:jc w:val="center"/>
          <w:trHeight w:val="407"/>
        </w:trPr>
        <w:tc>
          <w:tcPr>
            <w:tcW w:w="722" w:type="dxa"/>
            <w:vAlign w:val="center"/>
            <w:textDirection w:val="lrTb"/>
            <w:noWrap w:val="false"/>
          </w:tcPr>
          <w:p>
            <w:pPr>
              <w:jc w:val="center"/>
              <w:spacing w:line="284"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946" w:type="dxa"/>
            <w:vAlign w:val="center"/>
            <w:textDirection w:val="lrTb"/>
            <w:noWrap w:val="false"/>
          </w:tcPr>
          <w:p>
            <w:pPr>
              <w:jc w:val="center"/>
              <w:spacing w:line="284"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评分因素</w:t>
            </w:r>
            <w:r/>
          </w:p>
        </w:tc>
        <w:tc>
          <w:tcPr>
            <w:tcW w:w="757" w:type="dxa"/>
            <w:vAlign w:val="center"/>
            <w:textDirection w:val="lrTb"/>
            <w:noWrap w:val="false"/>
          </w:tcPr>
          <w:p>
            <w:pPr>
              <w:jc w:val="center"/>
              <w:spacing w:line="284"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6107" w:type="dxa"/>
            <w:vAlign w:val="center"/>
            <w:textDirection w:val="lrTb"/>
            <w:noWrap w:val="false"/>
          </w:tcPr>
          <w:p>
            <w:pPr>
              <w:jc w:val="center"/>
              <w:spacing w:line="284"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c>
          <w:tcPr>
            <w:tcW w:w="1402" w:type="dxa"/>
            <w:vAlign w:val="center"/>
            <w:textDirection w:val="lrTb"/>
            <w:noWrap w:val="false"/>
          </w:tcPr>
          <w:p>
            <w:pPr>
              <w:jc w:val="center"/>
              <w:spacing w:line="284"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说明</w:t>
            </w:r>
            <w:r/>
          </w:p>
        </w:tc>
      </w:tr>
      <w:tr>
        <w:trPr>
          <w:jc w:val="center"/>
        </w:trPr>
        <w:tc>
          <w:tcPr>
            <w:tcW w:w="722" w:type="dxa"/>
            <w:vAlign w:val="center"/>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46" w:type="dxa"/>
            <w:vAlign w:val="center"/>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tc>
        <w:tc>
          <w:tcPr>
            <w:tcW w:w="757" w:type="dxa"/>
            <w:vAlign w:val="center"/>
            <w:textDirection w:val="lrTb"/>
            <w:noWrap w:val="false"/>
          </w:tcPr>
          <w:p>
            <w:pPr>
              <w:jc w:val="center"/>
              <w:spacing w:line="28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6107" w:type="dxa"/>
            <w:vAlign w:val="center"/>
            <w:textDirection w:val="lrTb"/>
            <w:noWrap w:val="false"/>
          </w:tcPr>
          <w:p>
            <w:pPr>
              <w:jc w:val="left"/>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采用低价优先法计算，即满足磋商文件要求且投标优惠率最高的投标报价为评标基准价，其价格分为满分。其他投标人的价格分别按照下列公式计算（计算结果四舍五入保留两位小数）：报价得分=（1-评标基准价）/（1-供应商优惠率）×</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0分×100%，分值保留小数点后2位。</w:t>
            </w:r>
            <w:r/>
          </w:p>
          <w:p>
            <w:pPr>
              <w:jc w:val="left"/>
              <w:spacing w:line="284"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lang w:val="zh-CN"/>
              </w:rPr>
              <w:t xml:space="preserve">注：本项目作为政府重点监管项目，报价须按泰州市住房和城乡建设局泰建发</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lang w:val="zh-CN"/>
              </w:rPr>
              <w:t xml:space="preserve">2023</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lang w:val="zh-CN"/>
              </w:rPr>
              <w:t xml:space="preserve">164号文要求执行。</w:t>
            </w:r>
            <w:r/>
          </w:p>
          <w:p>
            <w:pPr>
              <w:ind w:firstLine="460"/>
              <w:jc w:val="left"/>
              <w:spacing w:line="28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rPr>
              <w:t xml:space="preserve">磋商小组认为供应商的报价明显低于其他通过符合性审查的供应商的报价，有可能影响产品质量或者不能诚信履约的，应当要求其在合理的时间内提供说明，必要时提交相关证明材料；供应商不能证明其报价合理性的，磋商小组</w:t>
            </w:r>
            <w:r>
              <w:rPr>
                <w:rFonts w:hint="eastAsia" w:ascii="宋体" w:hAnsi="宋体" w:eastAsia="宋体" w:cs="宋体"/>
                <w:color w:val="auto"/>
                <w:sz w:val="21"/>
                <w:szCs w:val="21"/>
                <w:highlight w:val="none"/>
                <w:u w:val="none"/>
                <w:lang w:val="en-US" w:eastAsia="zh-CN"/>
              </w:rPr>
              <w:t xml:space="preserve">可</w:t>
            </w:r>
            <w:r>
              <w:rPr>
                <w:rFonts w:hint="eastAsia" w:ascii="宋体" w:hAnsi="宋体" w:eastAsia="宋体" w:cs="宋体"/>
                <w:color w:val="auto"/>
                <w:sz w:val="21"/>
                <w:szCs w:val="21"/>
                <w:highlight w:val="none"/>
                <w:u w:val="none"/>
              </w:rPr>
              <w:t xml:space="preserve">将其</w:t>
            </w:r>
            <w:r>
              <w:rPr>
                <w:rFonts w:hint="eastAsia" w:ascii="宋体" w:hAnsi="宋体" w:eastAsia="宋体" w:cs="宋体"/>
                <w:color w:val="auto"/>
                <w:sz w:val="21"/>
                <w:szCs w:val="21"/>
                <w:highlight w:val="none"/>
                <w:u w:val="none"/>
                <w:lang w:val="en-US" w:eastAsia="zh-CN"/>
              </w:rPr>
              <w:t xml:space="preserve">视为恶意低价竞争，</w:t>
            </w:r>
            <w:r>
              <w:rPr>
                <w:rFonts w:hint="eastAsia" w:ascii="宋体" w:hAnsi="宋体" w:eastAsia="宋体" w:cs="宋体"/>
                <w:color w:val="auto"/>
                <w:sz w:val="21"/>
                <w:szCs w:val="21"/>
                <w:highlight w:val="none"/>
                <w:u w:val="none"/>
              </w:rPr>
              <w:t xml:space="preserve">作为无效</w:t>
            </w:r>
            <w:r>
              <w:rPr>
                <w:rFonts w:hint="eastAsia" w:ascii="宋体" w:hAnsi="宋体" w:eastAsia="宋体" w:cs="宋体"/>
                <w:color w:val="auto"/>
                <w:sz w:val="21"/>
                <w:szCs w:val="21"/>
                <w:highlight w:val="none"/>
                <w:u w:val="none"/>
                <w:lang w:val="en-US" w:eastAsia="zh-CN"/>
              </w:rPr>
              <w:t xml:space="preserve">报价</w:t>
            </w:r>
            <w:r>
              <w:rPr>
                <w:rFonts w:hint="eastAsia" w:ascii="宋体" w:hAnsi="宋体" w:eastAsia="宋体" w:cs="宋体"/>
                <w:color w:val="auto"/>
                <w:sz w:val="21"/>
                <w:szCs w:val="21"/>
                <w:highlight w:val="none"/>
                <w:u w:val="none"/>
              </w:rPr>
              <w:t xml:space="preserve">处理</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lang w:val="en-US" w:eastAsia="zh-CN"/>
              </w:rPr>
              <w:t xml:space="preserve">具体根据《</w:t>
            </w:r>
            <w:r>
              <w:rPr>
                <w:rFonts w:hint="eastAsia" w:ascii="宋体" w:hAnsi="宋体" w:eastAsia="宋体" w:cs="宋体"/>
                <w:color w:val="auto"/>
                <w:sz w:val="21"/>
                <w:szCs w:val="21"/>
                <w:highlight w:val="none"/>
              </w:rPr>
              <w:t xml:space="preserve">关于推动解决政府采购异常低价问题相关工作的通知</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（苏财购〔2025〕62号）</w:t>
            </w:r>
            <w:r>
              <w:rPr>
                <w:rFonts w:hint="eastAsia" w:ascii="宋体" w:hAnsi="宋体" w:eastAsia="宋体" w:cs="宋体"/>
                <w:color w:val="auto"/>
                <w:sz w:val="21"/>
                <w:szCs w:val="21"/>
                <w:highlight w:val="none"/>
                <w:lang w:val="en-US" w:eastAsia="zh-CN"/>
              </w:rPr>
              <w:t xml:space="preserve">文件精神执行。</w:t>
            </w:r>
            <w:r/>
          </w:p>
        </w:tc>
        <w:tc>
          <w:tcPr>
            <w:tcW w:w="1402" w:type="dxa"/>
            <w:vAlign w:val="center"/>
            <w:textDirection w:val="lrTb"/>
            <w:noWrap w:val="false"/>
          </w:tcPr>
          <w:p>
            <w:pPr>
              <w:jc w:val="left"/>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此处最后报价指经过报价修正，及因落实政府采购政策进行价格调整后的报价，详见第三章《评审方法和评审标准》3.2、3.3</w:t>
            </w:r>
            <w:r/>
          </w:p>
        </w:tc>
      </w:tr>
      <w:tr>
        <w:trPr>
          <w:jc w:val="center"/>
          <w:trHeight w:val="363"/>
        </w:trPr>
        <w:tc>
          <w:tcPr>
            <w:tcW w:w="722" w:type="dxa"/>
            <w:vAlign w:val="center"/>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946" w:type="dxa"/>
            <w:vAlign w:val="center"/>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拟派人员配备</w:t>
            </w:r>
            <w:r/>
          </w:p>
        </w:tc>
        <w:tc>
          <w:tcPr>
            <w:tcW w:w="757" w:type="dxa"/>
            <w:vAlign w:val="center"/>
            <w:textDirection w:val="lrTb"/>
            <w:noWrap w:val="false"/>
          </w:tcPr>
          <w:p>
            <w:pPr>
              <w:jc w:val="center"/>
              <w:spacing w:line="284"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p>
        </w:tc>
        <w:tc>
          <w:tcPr>
            <w:tcW w:w="6107" w:type="dxa"/>
            <w:vAlign w:val="center"/>
            <w:textDirection w:val="lrTb"/>
            <w:noWrap w:val="false"/>
          </w:tcPr>
          <w:p>
            <w:pPr>
              <w:ind w:firstLine="460"/>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1、拟派项目负责人素质（</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60"/>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具备建设工程质量检测人员岗位合格证同时具备建设工程类高级及以上职称的得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分。本项满分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60"/>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2、拟派技术负责人素质（</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60"/>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具备建设工程质量检测人员岗位合格证同时具备建设工程类高级及以上职称的得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分。本项满分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60"/>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3、拟派质量负责人素质（</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60"/>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具备建设工程质量检测人员岗位合格证同时具备建设工程类高级及以上职称的得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分。本项满分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60"/>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4、拟派本项目其他检测人员（不含项目负责人、技术负责人、质量负责人）中，具有建设工程类高级及以上职称的有一个得1分，本项最高得6分；</w:t>
            </w:r>
            <w:r/>
          </w:p>
          <w:p>
            <w:pPr>
              <w:pStyle w:val="731"/>
              <w:ind w:firstLine="4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5、拟派本项目其他检测人员（不含项目负责人、技术负责人、质量负责人）中，具有建设工程类中级职称的有一个得0.5分，本项最高得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pStyle w:val="731"/>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备注：</w:t>
            </w:r>
            <w:r>
              <w:rPr>
                <w:rFonts w:hint="eastAsia" w:ascii="宋体" w:hAnsi="宋体" w:eastAsia="宋体" w:cs="宋体"/>
                <w:color w:val="auto"/>
                <w:sz w:val="21"/>
                <w:szCs w:val="21"/>
                <w:highlight w:val="none"/>
              </w:rPr>
              <w:t xml:space="preserve">以上所有人员不重复得分，须提供人员相关证书及供应商为人员缴纳的养老保险（时间要求：投标截止时间前</w:t>
            </w:r>
            <w:r>
              <w:rPr>
                <w:rFonts w:hint="eastAsia" w:ascii="宋体" w:hAnsi="宋体" w:eastAsia="宋体" w:cs="宋体"/>
                <w:color w:val="auto"/>
                <w:sz w:val="21"/>
                <w:szCs w:val="21"/>
                <w:highlight w:val="none"/>
              </w:rPr>
              <w:t xml:space="preserve">近</w:t>
            </w:r>
            <w:r>
              <w:rPr>
                <w:rFonts w:hint="eastAsia" w:ascii="宋体" w:hAnsi="宋体" w:eastAsia="宋体" w:cs="宋体"/>
                <w:color w:val="auto"/>
                <w:sz w:val="21"/>
                <w:szCs w:val="21"/>
                <w:highlight w:val="none"/>
                <w:lang w:val="en-US" w:eastAsia="zh-CN"/>
              </w:rPr>
              <w:t xml:space="preserve">三个月内任意一个月</w:t>
            </w:r>
            <w:r>
              <w:rPr>
                <w:rFonts w:hint="eastAsia" w:ascii="宋体" w:hAnsi="宋体" w:eastAsia="宋体" w:cs="宋体"/>
                <w:color w:val="auto"/>
                <w:sz w:val="21"/>
                <w:szCs w:val="21"/>
                <w:highlight w:val="none"/>
              </w:rPr>
              <w:t xml:space="preserve">的社保缴纳证明，其他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计入得分。）</w:t>
            </w:r>
            <w:r/>
          </w:p>
        </w:tc>
        <w:tc>
          <w:tcPr>
            <w:tcW w:w="1402" w:type="dxa"/>
            <w:vAlign w:val="center"/>
            <w:textDirection w:val="lrTb"/>
            <w:noWrap w:val="false"/>
          </w:tcPr>
          <w:p>
            <w:pP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95"/>
        </w:trPr>
        <w:tc>
          <w:tcPr>
            <w:shd w:val="clear" w:color="auto" w:fill="auto"/>
            <w:tcW w:w="722" w:type="dxa"/>
            <w:vAlign w:val="center"/>
            <w:vMerge w:val="restart"/>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946" w:type="dxa"/>
            <w:vAlign w:val="center"/>
            <w:vMerge w:val="restart"/>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综合能力</w:t>
            </w:r>
            <w:r/>
          </w:p>
        </w:tc>
        <w:tc>
          <w:tcPr>
            <w:tcW w:w="757" w:type="dxa"/>
            <w:vAlign w:val="center"/>
            <w:textDirection w:val="lrTb"/>
            <w:noWrap w:val="false"/>
          </w:tcPr>
          <w:p>
            <w:pPr>
              <w:jc w:val="center"/>
              <w:spacing w:line="28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6107" w:type="dxa"/>
            <w:vAlign w:val="center"/>
            <w:textDirection w:val="lrTb"/>
            <w:noWrap w:val="false"/>
          </w:tcPr>
          <w:p>
            <w:pPr>
              <w:pStyle w:val="73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2021年1月1日至本项目采购公告发布之日在建设行政主管部门组织的各类能力验证中结果评价机构没有“不满意”的得10分，结果评价机构中有一个“不满意”的扣2分，扣完为止。提供相关证明材料加盖公章扫描上传为评分依据。</w:t>
            </w:r>
            <w:r/>
          </w:p>
        </w:tc>
        <w:tc>
          <w:tcPr>
            <w:tcW w:w="1402" w:type="dxa"/>
            <w:vAlign w:val="center"/>
            <w:textDirection w:val="lrTb"/>
            <w:noWrap w:val="false"/>
          </w:tcPr>
          <w:p>
            <w:pPr>
              <w:jc w:val="left"/>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21"/>
        </w:trPr>
        <w:tc>
          <w:tcPr>
            <w:shd w:val="clear" w:color="auto" w:fill="auto"/>
            <w:tcW w:w="722" w:type="dxa"/>
            <w:vAlign w:val="center"/>
            <w:vMerge w:val="continue"/>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vMerge w:val="continue"/>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57" w:type="dxa"/>
            <w:vAlign w:val="center"/>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6107" w:type="dxa"/>
            <w:vAlign w:val="center"/>
            <w:textDirection w:val="lrTb"/>
            <w:noWrap w:val="false"/>
          </w:tcPr>
          <w:p>
            <w:pPr>
              <w:pStyle w:val="73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（1）投标人具备中国合格评定国家认可委员会颁发的CNAS实验室认可证书，得2分，不提供不得分；</w:t>
            </w:r>
            <w:r/>
          </w:p>
          <w:p>
            <w:pPr>
              <w:pStyle w:val="73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（2）投标人具备中国合格评定国家认可委员会颁发的CNAS检验机构认可证书，得3分，不提供不得分；</w:t>
            </w:r>
            <w:r/>
          </w:p>
          <w:p>
            <w:pPr>
              <w:pStyle w:val="73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注：提供有效的证书扫描件；</w:t>
            </w:r>
            <w:r/>
          </w:p>
        </w:tc>
        <w:tc>
          <w:tcPr>
            <w:tcW w:w="1402" w:type="dxa"/>
            <w:vAlign w:val="center"/>
            <w:textDirection w:val="lrTb"/>
            <w:noWrap w:val="false"/>
          </w:tcPr>
          <w:p>
            <w:pPr>
              <w:jc w:val="left"/>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762"/>
        </w:trPr>
        <w:tc>
          <w:tcPr>
            <w:shd w:val="clear" w:color="auto" w:fill="auto"/>
            <w:tcW w:w="722" w:type="dxa"/>
            <w:vAlign w:val="center"/>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946" w:type="dxa"/>
            <w:vAlign w:val="center"/>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w:t>
            </w:r>
            <w:r/>
          </w:p>
        </w:tc>
        <w:tc>
          <w:tcPr>
            <w:tcW w:w="757" w:type="dxa"/>
            <w:vAlign w:val="center"/>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6107" w:type="dxa"/>
            <w:vAlign w:val="center"/>
            <w:textDirection w:val="lrTb"/>
            <w:noWrap w:val="false"/>
          </w:tcPr>
          <w:p>
            <w:pPr>
              <w:jc w:val="left"/>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供应商自2021年1月1日以来（以合同或中标（（直接）发包）通知书或成交通知书时间为准）承担过房屋建筑工程检测的，有1个得1分，本项最高得10分。</w:t>
            </w:r>
            <w:r/>
          </w:p>
          <w:p>
            <w:pPr>
              <w:jc w:val="left"/>
              <w:spacing w:line="28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须提供合同</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中标（直接发包）通知书或成交通知书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同时每个项目提供3份质检监管系统可查询的检测报告加盖公章，以上材料扫描上传。</w:t>
            </w:r>
            <w:r/>
          </w:p>
        </w:tc>
        <w:tc>
          <w:tcPr>
            <w:tcW w:w="1402" w:type="dxa"/>
            <w:vAlign w:val="center"/>
            <w:textDirection w:val="lrTb"/>
            <w:noWrap w:val="false"/>
          </w:tcPr>
          <w:p>
            <w:pP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56"/>
        </w:trPr>
        <w:tc>
          <w:tcPr>
            <w:tcW w:w="722" w:type="dxa"/>
            <w:vAlign w:val="center"/>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946" w:type="dxa"/>
            <w:vAlign w:val="center"/>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试验检测方案</w:t>
            </w:r>
            <w:r/>
          </w:p>
        </w:tc>
        <w:tc>
          <w:tcPr>
            <w:tcW w:w="757" w:type="dxa"/>
            <w:vAlign w:val="center"/>
            <w:textDirection w:val="lrTb"/>
            <w:noWrap w:val="false"/>
          </w:tcPr>
          <w:p>
            <w:pPr>
              <w:jc w:val="center"/>
              <w:spacing w:line="28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w:t>
            </w:r>
            <w:r/>
          </w:p>
        </w:tc>
        <w:tc>
          <w:tcPr>
            <w:tcW w:w="6107"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试验检测工作的程序与方法。根据试验检测的内容、方法、试验检测频率，试验检测手段，试验检测资料及分析报告，最终报告的形成的可行性、针对性和可靠性等方面进行评分，内容详尽全面得10分，内容较为详尽全面得7分，内容简单得4分，不提供或不符合要求得0分。</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试验检测工作服务及保证措施。根据试验检测工作服务的目标，保证试验检测精度的技术措施，试验检测进度计划及保证试验检测进度的措施，试验检测工作质量与服务保证措施，安全生产管理措施等方面进行评分，内容详尽全面得10分，内容较为详尽全面得7分，内容简单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分，不提供或不符合要求得0分。</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的重点和难点分析及对策措施，结合本项目的特性，从检测项目的全面性和设备的针对性分析，自有检测资质全面、设备齐全（提供相关资质证明如CMA认证、设备发票及照片等）的得15分，自有资质、设备较少的得10分，自有资质、设备一般的得5分，无具体分析得0分。</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（4）对提升工程质量管理的相关建议及具体措施，具体措施明确具有操作性得10分，可行得7分，一般得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分，无具体分析得0分。</w:t>
            </w:r>
            <w:r/>
          </w:p>
        </w:tc>
        <w:tc>
          <w:tcPr>
            <w:tcW w:w="1402" w:type="dxa"/>
            <w:vAlign w:val="center"/>
            <w:textDirection w:val="lrTb"/>
            <w:noWrap w:val="false"/>
          </w:tcPr>
          <w:p>
            <w:pP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gridSpan w:val="2"/>
            <w:tcW w:w="1668" w:type="dxa"/>
            <w:vAlign w:val="center"/>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  计</w:t>
            </w:r>
            <w:r/>
          </w:p>
        </w:tc>
        <w:tc>
          <w:tcPr>
            <w:tcW w:w="757" w:type="dxa"/>
            <w:vAlign w:val="center"/>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W w:w="6107" w:type="dxa"/>
            <w:vAlign w:val="center"/>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2" w:type="dxa"/>
            <w:vAlign w:val="center"/>
            <w:textDirection w:val="lrTb"/>
            <w:noWrap w:val="false"/>
          </w:tcPr>
          <w:p>
            <w:pPr>
              <w:jc w:val="center"/>
              <w:spacing w:line="28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ind w:firstLine="48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上述评分标准中须提供相关的各种资格、资质、证书、证明材料等，供应商必须保证所提供资料的真实性和完整性，如发现存在骗取成交等虚假行为，将依据法律规定取消其成交资格。</w:t>
      </w:r>
      <w:r/>
    </w:p>
    <w:p>
      <w:pPr>
        <w:rPr>
          <w:rFonts w:ascii="黑体" w:hAnsi="黑体" w:eastAsia="黑体" w:cs="黑体"/>
          <w:color w:val="auto"/>
          <w:sz w:val="28"/>
          <w:szCs w:val="28"/>
          <w:highlight w:val="none"/>
        </w:rPr>
      </w:pPr>
      <w:r>
        <w:rPr>
          <w:color w:val="auto"/>
          <w:highlight w:val="none"/>
        </w:rPr>
        <w:br w:type="page" w:clear="all"/>
      </w:r>
      <w:r/>
    </w:p>
    <w:p>
      <w:pPr>
        <w:pStyle w:val="692"/>
        <w:jc w:val="center"/>
        <w:rPr>
          <w:rFonts w:ascii="黑体" w:hAnsi="黑体" w:eastAsia="黑体" w:cs="黑体"/>
          <w:color w:val="auto"/>
          <w:sz w:val="36"/>
          <w:szCs w:val="22"/>
          <w:highlight w:val="none"/>
        </w:rPr>
      </w:pPr>
      <w:r/>
      <w:bookmarkStart w:id="89" w:name="_Toc16466"/>
      <w:r>
        <w:rPr>
          <w:rFonts w:hint="eastAsia" w:ascii="黑体" w:hAnsi="黑体" w:eastAsia="黑体" w:cs="黑体"/>
          <w:color w:val="auto"/>
          <w:sz w:val="36"/>
          <w:szCs w:val="22"/>
          <w:highlight w:val="none"/>
        </w:rPr>
        <w:t xml:space="preserve">第四章  采购需求</w:t>
      </w:r>
      <w:bookmarkEnd w:id="89"/>
      <w:r/>
      <w:r/>
    </w:p>
    <w:p>
      <w:pPr>
        <w:spacing w:line="520" w:lineRule="exact"/>
        <w:rPr>
          <w:rFonts w:ascii="宋体" w:hAnsi="宋体" w:eastAsia="宋体" w:cs="宋体"/>
          <w:color w:val="auto"/>
          <w:spacing w:val="4"/>
          <w:sz w:val="24"/>
          <w:highlight w:val="none"/>
        </w:rPr>
      </w:pPr>
      <w:r>
        <w:rPr>
          <w:rFonts w:hint="eastAsia" w:ascii="宋体" w:hAnsi="宋体" w:eastAsia="宋体" w:cs="宋体"/>
          <w:color w:val="auto"/>
          <w:spacing w:val="4"/>
          <w:sz w:val="24"/>
          <w:highlight w:val="none"/>
        </w:rPr>
        <w:t xml:space="preserve">一、项目概况</w:t>
      </w:r>
      <w:r/>
    </w:p>
    <w:p>
      <w:pPr>
        <w:ind w:firstLine="496"/>
        <w:spacing w:line="520" w:lineRule="exact"/>
        <w:rPr>
          <w:rFonts w:ascii="宋体" w:hAnsi="宋体" w:eastAsia="宋体" w:cs="宋体"/>
          <w:color w:val="auto"/>
          <w:spacing w:val="4"/>
          <w:sz w:val="24"/>
          <w:highlight w:val="none"/>
        </w:rPr>
      </w:pPr>
      <w:r>
        <w:rPr>
          <w:rFonts w:hint="eastAsia" w:ascii="宋体" w:hAnsi="宋体" w:eastAsia="宋体" w:cs="宋体"/>
          <w:color w:val="auto"/>
          <w:spacing w:val="4"/>
          <w:sz w:val="24"/>
          <w:highlight w:val="none"/>
        </w:rPr>
        <w:t xml:space="preserve">1、项目名称：</w:t>
      </w:r>
      <w:r>
        <w:rPr>
          <w:rFonts w:hint="eastAsia" w:ascii="宋体" w:hAnsi="宋体" w:eastAsia="宋体" w:cs="宋体"/>
          <w:color w:val="auto"/>
          <w:sz w:val="24"/>
          <w:highlight w:val="none"/>
        </w:rPr>
        <w:t xml:space="preserve">高港实验初级中学异地重建项目材料检测</w:t>
      </w:r>
      <w:r/>
    </w:p>
    <w:p>
      <w:pPr>
        <w:ind w:firstLine="496"/>
        <w:spacing w:line="520" w:lineRule="exact"/>
        <w:rPr>
          <w:rFonts w:ascii="宋体" w:hAnsi="宋体" w:eastAsia="宋体" w:cs="宋体"/>
          <w:color w:val="auto"/>
          <w:spacing w:val="4"/>
          <w:sz w:val="24"/>
          <w:highlight w:val="none"/>
        </w:rPr>
      </w:pPr>
      <w:r>
        <w:rPr>
          <w:rFonts w:hint="eastAsia" w:ascii="宋体" w:hAnsi="宋体" w:eastAsia="宋体" w:cs="宋体"/>
          <w:color w:val="auto"/>
          <w:spacing w:val="4"/>
          <w:sz w:val="24"/>
          <w:highlight w:val="none"/>
        </w:rPr>
        <w:t xml:space="preserve">2、合同履行期限：暂定</w:t>
      </w:r>
      <w:r>
        <w:rPr>
          <w:rFonts w:hint="eastAsia" w:ascii="宋体" w:hAnsi="宋体" w:eastAsia="宋体" w:cs="宋体"/>
          <w:color w:val="auto"/>
          <w:spacing w:val="4"/>
          <w:sz w:val="24"/>
          <w:highlight w:val="none"/>
          <w:lang w:val="en-US" w:eastAsia="zh-CN"/>
        </w:rPr>
        <w:t xml:space="preserve">450</w:t>
      </w:r>
      <w:r>
        <w:rPr>
          <w:rFonts w:hint="eastAsia" w:ascii="宋体" w:hAnsi="宋体" w:eastAsia="宋体" w:cs="宋体"/>
          <w:color w:val="auto"/>
          <w:spacing w:val="4"/>
          <w:sz w:val="24"/>
          <w:highlight w:val="none"/>
        </w:rPr>
        <w:t xml:space="preserve">日历天（与施工工期同步），若遇工期延长情况时，检测费不作任何调整。</w:t>
      </w:r>
      <w:r/>
    </w:p>
    <w:p>
      <w:pPr>
        <w:ind w:firstLine="496"/>
        <w:spacing w:line="520" w:lineRule="exact"/>
        <w:rPr>
          <w:rFonts w:ascii="宋体" w:hAnsi="宋体" w:eastAsia="宋体" w:cs="宋体"/>
          <w:color w:val="auto"/>
          <w:spacing w:val="4"/>
          <w:sz w:val="24"/>
          <w:highlight w:val="none"/>
        </w:rPr>
      </w:pPr>
      <w:r>
        <w:rPr>
          <w:rFonts w:hint="eastAsia" w:ascii="宋体" w:hAnsi="宋体" w:eastAsia="宋体" w:cs="宋体"/>
          <w:color w:val="auto"/>
          <w:spacing w:val="4"/>
          <w:sz w:val="24"/>
          <w:highlight w:val="none"/>
        </w:rPr>
        <w:t xml:space="preserve">3、服务地点： 项目位于泰州医药高新区(高港区)春港大道南侧、周潘中沟东侧、新港大道西侧、港城路北侧。</w:t>
      </w:r>
      <w:r>
        <w:rPr>
          <w:rFonts w:hint="eastAsia" w:ascii="宋体" w:hAnsi="宋体" w:eastAsia="宋体" w:cs="宋体"/>
          <w:color w:val="auto"/>
          <w:sz w:val="24"/>
          <w:highlight w:val="none"/>
        </w:rPr>
        <w:t xml:space="preserve"> </w:t>
      </w:r>
      <w:r/>
    </w:p>
    <w:p>
      <w:pPr>
        <w:spacing w:line="520" w:lineRule="exact"/>
        <w:rPr>
          <w:rFonts w:ascii="宋体" w:hAnsi="宋体" w:eastAsia="宋体" w:cs="宋体"/>
          <w:color w:val="auto"/>
          <w:spacing w:val="4"/>
          <w:sz w:val="24"/>
          <w:highlight w:val="none"/>
        </w:rPr>
      </w:pPr>
      <w:r>
        <w:rPr>
          <w:rFonts w:hint="eastAsia" w:ascii="宋体" w:hAnsi="宋体" w:eastAsia="宋体" w:cs="宋体"/>
          <w:color w:val="auto"/>
          <w:spacing w:val="4"/>
          <w:sz w:val="24"/>
          <w:highlight w:val="none"/>
        </w:rPr>
        <w:t xml:space="preserve">三、采购需求的简要说明</w:t>
      </w:r>
      <w:r/>
    </w:p>
    <w:p>
      <w:pPr>
        <w:ind w:firstLine="496"/>
        <w:spacing w:line="440" w:lineRule="exact"/>
        <w:rPr>
          <w:rFonts w:ascii="宋体" w:hAnsi="宋体" w:eastAsia="宋体" w:cs="宋体"/>
          <w:color w:val="auto"/>
          <w:spacing w:val="4"/>
          <w:sz w:val="24"/>
          <w:highlight w:val="none"/>
        </w:rPr>
      </w:pPr>
      <w:r>
        <w:rPr>
          <w:rFonts w:hint="eastAsia" w:ascii="宋体" w:hAnsi="宋体" w:eastAsia="宋体" w:cs="宋体"/>
          <w:color w:val="auto"/>
          <w:spacing w:val="4"/>
          <w:sz w:val="24"/>
          <w:highlight w:val="none"/>
        </w:rPr>
        <w:t xml:space="preserve">1、工</w:t>
      </w:r>
      <w:r>
        <w:rPr>
          <w:rFonts w:hint="eastAsia" w:ascii="宋体" w:hAnsi="宋体" w:eastAsia="宋体" w:cs="宋体"/>
          <w:color w:val="auto"/>
          <w:sz w:val="24"/>
          <w:highlight w:val="none"/>
        </w:rPr>
        <w:t xml:space="preserve">程规模：主要内容为3#教学楼和5#教学楼、4#实验楼、6#食堂及风雨操场、门卫室、连廊、室外配套、足球场、篮球场及排球场、道路及停车场、围墙、路灯、绿化等工程，建筑总面积约15000m2。施工内容包含土建、水电、智能化、消防及暖通、电梯、室外道路、给排水、绿化及供电等。</w:t>
      </w:r>
      <w:r/>
    </w:p>
    <w:p>
      <w:pPr>
        <w:ind w:firstLine="496"/>
        <w:spacing w:line="520" w:lineRule="exact"/>
        <w:rPr>
          <w:rFonts w:ascii="宋体" w:hAnsi="宋体" w:eastAsia="宋体" w:cs="宋体"/>
          <w:color w:val="auto"/>
          <w:sz w:val="24"/>
          <w:highlight w:val="none"/>
        </w:rPr>
      </w:pPr>
      <w:r/>
      <w:bookmarkStart w:id="90" w:name="_Toc500146911"/>
      <w:r>
        <w:rPr>
          <w:rFonts w:hint="eastAsia" w:ascii="宋体" w:hAnsi="宋体" w:eastAsia="宋体" w:cs="宋体"/>
          <w:color w:val="auto"/>
          <w:spacing w:val="4"/>
          <w:sz w:val="24"/>
          <w:highlight w:val="none"/>
        </w:rPr>
        <w:t xml:space="preserve">2、检测范围：</w:t>
      </w:r>
      <w:r>
        <w:rPr>
          <w:rFonts w:hint="eastAsia" w:ascii="宋体" w:hAnsi="宋体" w:eastAsia="宋体" w:cs="宋体"/>
          <w:color w:val="auto"/>
          <w:sz w:val="24"/>
          <w:highlight w:val="none"/>
        </w:rPr>
        <w:t xml:space="preserve">工程实施过程中，按设计及规范要求对施工范围内和施工期间涉及的土建、桩基、内外装、消防、智能化、道路、雨污水管道、其他配套工程等各分部分项的原材料、混合料、半成品进行抽检试验，对各分部分项工程实体的质量进行现场检测。</w:t>
      </w:r>
      <w:r/>
    </w:p>
    <w:p>
      <w:pPr>
        <w:spacing w:line="520" w:lineRule="exact"/>
        <w:rPr>
          <w:rFonts w:ascii="宋体" w:hAnsi="宋体" w:eastAsia="宋体" w:cs="宋体"/>
          <w:color w:val="auto"/>
          <w:spacing w:val="4"/>
          <w:sz w:val="24"/>
          <w:highlight w:val="none"/>
        </w:rPr>
      </w:pPr>
      <w:r>
        <w:rPr>
          <w:rFonts w:hint="eastAsia" w:ascii="宋体" w:hAnsi="宋体" w:eastAsia="宋体" w:cs="宋体"/>
          <w:color w:val="auto"/>
          <w:spacing w:val="4"/>
          <w:sz w:val="24"/>
          <w:highlight w:val="none"/>
        </w:rPr>
        <w:t xml:space="preserve">四、其他要求</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1、磋商报价： </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（1）现场内的通行条件由供应商自行踏勘，报价应充分考虑施工现场的现状及所需人工、机械、设备、材料的各项费用，全部费用均包含在本次报价中。</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（2）报价包干包括但不限于以下内容：人工费、主要材料费、设备及机械费、交通费、辅助材料费、管理费、规费、利润、税金等所有检测所需的一切费用。</w:t>
      </w:r>
      <w:r/>
    </w:p>
    <w:p>
      <w:pPr>
        <w:ind w:firstLine="480"/>
        <w:spacing w:line="520" w:lineRule="exact"/>
        <w:rPr>
          <w:rFonts w:ascii="宋体" w:hAnsi="宋体" w:eastAsia="宋体" w:cs="宋体"/>
          <w:b/>
          <w:bCs/>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b/>
          <w:bCs/>
          <w:color w:val="auto"/>
          <w:sz w:val="24"/>
          <w:highlight w:val="none"/>
        </w:rPr>
        <w:t xml:space="preserve">本工程磋商报价如有漏项视为优惠，但不免除满足工程需要的各项检测的责任，如不能满足工程检测标准及时提供检测报告以满足施工、验收需要，延迟超过七天，采购人有权另行委托第三方检测，该费用从成交供应商结算费用中扣除。</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（4）供应商结合企业自身实际情况，试验检测采用优惠率报价，响应优惠率不得低于</w:t>
      </w:r>
      <w:r>
        <w:rPr>
          <w:rFonts w:hint="eastAsia" w:ascii="宋体" w:hAnsi="宋体" w:eastAsia="宋体" w:cs="宋体"/>
          <w:b/>
          <w:bCs/>
          <w:color w:val="auto"/>
          <w:sz w:val="24"/>
          <w:highlight w:val="none"/>
          <w:lang w:val="en-US" w:eastAsia="zh-CN"/>
        </w:rPr>
        <w:t xml:space="preserve">20</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收费标准：</w:t>
      </w:r>
      <w:r>
        <w:rPr>
          <w:rFonts w:hint="eastAsia" w:ascii="宋体" w:hAnsi="宋体" w:eastAsia="宋体" w:cs="宋体"/>
          <w:b/>
          <w:color w:val="auto"/>
          <w:sz w:val="24"/>
          <w:highlight w:val="none"/>
          <w:lang w:val="zh-CN"/>
        </w:rPr>
        <w:t xml:space="preserve">苏价服[2001]113号、交质公【2016】8号、泰州市工程质量检测行业工程质量检测和建筑材料试验收费指导价等（</w:t>
      </w:r>
      <w:r>
        <w:rPr>
          <w:rFonts w:hint="eastAsia" w:ascii="宋体" w:hAnsi="宋体" w:eastAsia="宋体" w:cs="宋体"/>
          <w:b/>
          <w:color w:val="auto"/>
          <w:sz w:val="24"/>
          <w:highlight w:val="none"/>
        </w:rPr>
        <w:t xml:space="preserve">检测收费标准以排名靠前的收费文件优先</w:t>
      </w:r>
      <w:r>
        <w:rPr>
          <w:rFonts w:hint="eastAsia" w:ascii="宋体" w:hAnsi="宋体" w:eastAsia="宋体" w:cs="宋体"/>
          <w:b/>
          <w:color w:val="auto"/>
          <w:sz w:val="24"/>
          <w:highlight w:val="none"/>
          <w:lang w:val="zh-CN"/>
        </w:rPr>
        <w:t xml:space="preserve">）。</w:t>
      </w:r>
      <w:r>
        <w:rPr>
          <w:rFonts w:hint="eastAsia" w:ascii="宋体" w:hAnsi="宋体" w:eastAsia="宋体" w:cs="宋体"/>
          <w:b/>
          <w:color w:val="auto"/>
          <w:sz w:val="24"/>
          <w:highlight w:val="none"/>
        </w:rPr>
        <w:t xml:space="preserve">] 否则</w:t>
      </w:r>
      <w:r>
        <w:rPr>
          <w:rFonts w:hint="eastAsia" w:ascii="宋体" w:hAnsi="宋体" w:eastAsia="宋体" w:cs="宋体"/>
          <w:color w:val="auto"/>
          <w:sz w:val="24"/>
          <w:highlight w:val="none"/>
        </w:rPr>
        <w:t xml:space="preserve">将视为未满足磋商文件的实质性要求，作无效报价处理。</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2、检测项目包括但不限于以下内容：</w:t>
      </w:r>
      <w:bookmarkEnd w:id="90"/>
      <w:r/>
      <w:r/>
    </w:p>
    <w:p>
      <w:pPr>
        <w:ind w:firstLine="482"/>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（一）原材料及实体结构检测（包括但不限于以下内容）：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
          <w:bCs/>
          <w:color w:val="auto"/>
          <w:sz w:val="24"/>
          <w:highlight w:val="none"/>
        </w:rPr>
        <w:t xml:space="preserve">见证取样检测：</w:t>
      </w:r>
      <w:r>
        <w:rPr>
          <w:rFonts w:hint="eastAsia" w:ascii="宋体" w:hAnsi="宋体" w:cs="宋体"/>
          <w:color w:val="auto"/>
          <w:sz w:val="24"/>
          <w:highlight w:val="none"/>
        </w:rPr>
        <w:t xml:space="preserve">水泥物理力学性能、钢筋混凝土用钢材、砂、石常规、混凝土砂浆性能、简易土工、混凝土掺加剂、沥青、沥青混合料、预应力钢材、锚夹具、波纹管；</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
          <w:bCs/>
          <w:color w:val="auto"/>
          <w:sz w:val="24"/>
          <w:highlight w:val="none"/>
        </w:rPr>
        <w:t xml:space="preserve">主体结构现场检测：</w:t>
      </w:r>
      <w:r>
        <w:rPr>
          <w:rFonts w:hint="eastAsia" w:ascii="宋体" w:hAnsi="宋体" w:cs="宋体"/>
          <w:color w:val="auto"/>
          <w:sz w:val="24"/>
          <w:highlight w:val="none"/>
        </w:rPr>
        <w:t xml:space="preserve">混凝土结构及构件实体、后置埋件、结构性能、砌体结构；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b/>
          <w:bCs/>
          <w:color w:val="auto"/>
          <w:sz w:val="24"/>
          <w:highlight w:val="none"/>
        </w:rPr>
        <w:t xml:space="preserve">钢结构工程专项检测：</w:t>
      </w:r>
      <w:r>
        <w:rPr>
          <w:rFonts w:hint="eastAsia" w:ascii="宋体" w:hAnsi="宋体" w:cs="宋体"/>
          <w:color w:val="auto"/>
          <w:sz w:val="24"/>
          <w:highlight w:val="none"/>
        </w:rPr>
        <w:t xml:space="preserve">钢结构工程用钢材、连接件、钢结构焊缝质量、防腐防火涂装、钢结构变形；</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
          <w:bCs/>
          <w:color w:val="auto"/>
          <w:sz w:val="24"/>
          <w:highlight w:val="none"/>
        </w:rPr>
        <w:t xml:space="preserve">市政工程类检测：</w:t>
      </w:r>
      <w:r>
        <w:rPr>
          <w:rFonts w:hint="eastAsia" w:ascii="宋体" w:hAnsi="宋体" w:cs="宋体"/>
          <w:color w:val="auto"/>
          <w:sz w:val="24"/>
          <w:highlight w:val="none"/>
        </w:rPr>
        <w:t xml:space="preserve">沥青；沥青混合料；土工；土工合成材料；水泥土；道路结构；埋地排水管；路面砖、路缘石、路面石材；检查井盖及雨水箅；石灰、道路 用粉煤灰；粗集料、细集料；矿粉、木质素纤维；</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b/>
          <w:bCs/>
          <w:color w:val="auto"/>
          <w:sz w:val="24"/>
          <w:highlight w:val="none"/>
        </w:rPr>
        <w:t xml:space="preserve">建筑水电备案类检测：</w:t>
      </w:r>
      <w:r>
        <w:rPr>
          <w:rFonts w:hint="eastAsia" w:ascii="宋体" w:hAnsi="宋体" w:cs="宋体"/>
          <w:color w:val="auto"/>
          <w:sz w:val="24"/>
          <w:highlight w:val="none"/>
        </w:rPr>
        <w:t xml:space="preserve">绝缘（绝缘电阻）、接地电阻、排水管材(件)、给水管材(件)、电线、电缆、电工套管、开关、插座；</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b/>
          <w:bCs/>
          <w:color w:val="auto"/>
          <w:sz w:val="24"/>
          <w:highlight w:val="none"/>
        </w:rPr>
        <w:t xml:space="preserve">墙体材料备案类检测：</w:t>
      </w:r>
      <w:r>
        <w:rPr>
          <w:rFonts w:hint="eastAsia" w:ascii="宋体" w:hAnsi="宋体" w:cs="宋体"/>
          <w:color w:val="auto"/>
          <w:sz w:val="24"/>
          <w:highlight w:val="none"/>
        </w:rPr>
        <w:t xml:space="preserve">砌块、砖、轻质混凝土板材、屋面瓦；</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b/>
          <w:bCs/>
          <w:color w:val="auto"/>
          <w:sz w:val="24"/>
          <w:highlight w:val="none"/>
        </w:rPr>
        <w:t xml:space="preserve">饰面材料备案类检测：</w:t>
      </w:r>
      <w:r>
        <w:rPr>
          <w:rFonts w:hint="eastAsia" w:ascii="宋体" w:hAnsi="宋体" w:cs="宋体"/>
          <w:color w:val="auto"/>
          <w:sz w:val="24"/>
          <w:highlight w:val="none"/>
        </w:rPr>
        <w:t xml:space="preserve">饰面石材、陶瓷砖块、建筑涂料；石膏板检测、轻钢龙骨检测、幕墙相关检测；</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b/>
          <w:bCs/>
          <w:color w:val="auto"/>
          <w:sz w:val="24"/>
          <w:highlight w:val="none"/>
        </w:rPr>
        <w:t xml:space="preserve">防水材料备案类检测：</w:t>
      </w:r>
      <w:r>
        <w:rPr>
          <w:rFonts w:hint="eastAsia" w:ascii="宋体" w:hAnsi="宋体" w:cs="宋体"/>
          <w:color w:val="auto"/>
          <w:sz w:val="24"/>
          <w:highlight w:val="none"/>
        </w:rPr>
        <w:t xml:space="preserve">防水卷材、止水带、膨胀橡胶、防水涂料、油膏及接缝材料；</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b/>
          <w:bCs/>
          <w:color w:val="auto"/>
          <w:sz w:val="24"/>
          <w:highlight w:val="none"/>
        </w:rPr>
        <w:t xml:space="preserve">门窗备案类检测：</w:t>
      </w:r>
      <w:r>
        <w:rPr>
          <w:rFonts w:hint="eastAsia" w:ascii="宋体" w:hAnsi="宋体" w:cs="宋体"/>
          <w:color w:val="auto"/>
          <w:sz w:val="24"/>
          <w:highlight w:val="none"/>
        </w:rPr>
        <w:t xml:space="preserve">物理性能、型材；</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b/>
          <w:bCs/>
          <w:color w:val="auto"/>
          <w:sz w:val="24"/>
          <w:highlight w:val="none"/>
        </w:rPr>
        <w:t xml:space="preserve">室内环境备案类检测：</w:t>
      </w:r>
      <w:r>
        <w:rPr>
          <w:rFonts w:hint="eastAsia" w:ascii="宋体" w:hAnsi="宋体" w:cs="宋体"/>
          <w:color w:val="auto"/>
          <w:sz w:val="24"/>
          <w:highlight w:val="none"/>
        </w:rPr>
        <w:t xml:space="preserve">室内空气有害物质、土壤有害物质、人造板检测、胶粘剂有害物质、涂料有害物质、建筑材料放射性核素（镭、钍、钾）。</w:t>
      </w:r>
      <w:r/>
    </w:p>
    <w:p>
      <w:pPr>
        <w:ind w:firstLine="482"/>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（二）建筑节能工程专项检测（包括但不限于以下内容）：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EPS、XPS 板材、保温装饰板、硬质泡沫聚氨酯、保温砂浆、抗裂砂浆、界面砂浆、胶粘剂、绝热材料、电焊网、网格布、热工性能现场检测、围护结构实体。</w:t>
      </w:r>
      <w:r/>
    </w:p>
    <w:p>
      <w:pPr>
        <w:ind w:firstLine="482"/>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（三）桩基检测（含试桩）（包括但不限于以下内容）：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（1）静载抗压</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（2）静载抗拔</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（3）管桩接桩焊缝探伤检测</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（4）反射波法完整性测试</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（5）高应变法检测</w:t>
      </w:r>
      <w:r/>
    </w:p>
    <w:p>
      <w:pPr>
        <w:ind w:firstLine="482"/>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（四）专项工程检测（包括但不限于以下内容）：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声环境检测、光环境检测、栏杆检测、沉降观测、装备式建筑检测；白蚁防治检测、土壤氡检测；消防检测、人防检测、防雷检测、能效检测、智能化及空调检测、水质检测；CCTV检测等所有专项检测等一切竣工验收前必检项目及国家、行业规定的项目竣工前必须的材料及性能检测。（前述项目</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可以委托具备相应资质的检测单位检测并经建设单位同意）</w:t>
      </w:r>
      <w:r/>
    </w:p>
    <w:p>
      <w:pPr>
        <w:ind w:firstLine="482"/>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（五）其他项目检测（包括但不限于以下内容）：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（1）前述内容中没有列出但在本项目可能会发生的检测内容。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（2）每一个检验批未达到规范规定的所代表数量而增加费用。</w:t>
      </w:r>
      <w:r/>
    </w:p>
    <w:p>
      <w:pPr>
        <w:ind w:firstLine="480"/>
        <w:spacing w:line="520" w:lineRule="exact"/>
        <w:rPr>
          <w:rFonts w:ascii="宋体" w:hAnsi="宋体" w:cs="宋体"/>
          <w:color w:val="auto"/>
          <w:highlight w:val="none"/>
        </w:rPr>
      </w:pPr>
      <w:r>
        <w:rPr>
          <w:rFonts w:hint="eastAsia" w:ascii="宋体" w:hAnsi="宋体" w:cs="宋体"/>
          <w:color w:val="auto"/>
          <w:sz w:val="24"/>
          <w:highlight w:val="none"/>
        </w:rPr>
        <w:t xml:space="preserve">（3）未来相关法律、法规及相关政策的变化导致本项目达到竣工验收要求必须增加的检测内容。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3、结算方式：</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（1）最终结算方式：按实际工作量，以“检测的数量×收费标准×（1-中标响应优惠率）”予以计算，其余任何费用采购人不再承担，且最终结算价不得超过</w:t>
      </w:r>
      <w:r>
        <w:rPr>
          <w:rFonts w:hint="eastAsia" w:ascii="宋体" w:hAnsi="宋体" w:eastAsia="宋体" w:cs="宋体"/>
          <w:bCs/>
          <w:color w:val="auto"/>
          <w:sz w:val="24"/>
          <w:highlight w:val="none"/>
          <w:lang w:val="en-US" w:eastAsia="zh-CN"/>
        </w:rPr>
        <w:t xml:space="preserve">143</w:t>
      </w:r>
      <w:r>
        <w:rPr>
          <w:rFonts w:hint="eastAsia" w:ascii="宋体" w:hAnsi="宋体" w:eastAsia="宋体" w:cs="宋体"/>
          <w:bCs/>
          <w:color w:val="auto"/>
          <w:sz w:val="24"/>
          <w:highlight w:val="none"/>
          <w:lang w:val="zh-CN"/>
        </w:rPr>
        <w:t xml:space="preserve">万元</w:t>
      </w:r>
      <w:r>
        <w:rPr>
          <w:rFonts w:hint="eastAsia" w:ascii="宋体" w:hAnsi="宋体" w:cs="宋体"/>
          <w:color w:val="auto"/>
          <w:sz w:val="24"/>
          <w:highlight w:val="none"/>
        </w:rPr>
        <w:t xml:space="preserve">。</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无收费标准的：①有相似检测工艺或检测方法的，由成交供应商参照相似检测工艺，收费标准*中标响应费率*所需检测的工程量，经采购人或其委托单位确认后执行，其余任何费用采购人不再承担；②无相似检测工艺和检测方法的，由成交供应商根据检测工艺和检测方法按实报价，经采购人或其委托单位审核。并协商同意后执行，其余任何费用采购人不再承担。如协商不能达成共识的，采购人有权委托他人检测（委托价格低于成交供应商上报价格），但该项检测费用由成交供应商支付。 </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本工程所有试验检测项目，均由成交供应商负责完成，若其中部分试验检测项目成交供应商不具备相应的检测资质时，成交供应商必须委托具有相应资质的检测单位进行检测并出具检测报告。成交供应商与委托的检测单位产生费用的多与少，采购人概不负责。采购人只按照本磋商文件的最终结算方式与供应商进行结算。</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成交供应商在施工过程中，必须配合现场施工检测要求。因部分检测项目需要到现场进行检测的，采购人会提前通知成交供应商安排检测人员；如因成交供应商自身原因不能及时到达现场导致影响施工进度的，每次罚款2000元，该部分费用从履约保证金中扣除。</w:t>
      </w:r>
      <w:r/>
    </w:p>
    <w:p>
      <w:pPr>
        <w:ind w:firstLine="496"/>
        <w:spacing w:line="52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5、</w:t>
      </w:r>
      <w:r>
        <w:rPr>
          <w:rFonts w:hint="eastAsia" w:ascii="宋体" w:hAnsi="宋体" w:cs="宋体"/>
          <w:color w:val="auto"/>
          <w:sz w:val="24"/>
          <w:highlight w:val="none"/>
        </w:rPr>
        <w:t xml:space="preserve">成交供应商</w:t>
      </w:r>
      <w:r>
        <w:rPr>
          <w:rFonts w:hint="eastAsia" w:ascii="宋体" w:hAnsi="宋体" w:cs="宋体"/>
          <w:color w:val="auto"/>
          <w:spacing w:val="4"/>
          <w:sz w:val="24"/>
          <w:highlight w:val="none"/>
        </w:rPr>
        <w:t xml:space="preserve">必须在接到检测的指令后</w:t>
      </w:r>
      <w:r>
        <w:rPr>
          <w:rFonts w:hint="eastAsia" w:ascii="宋体" w:hAnsi="宋体" w:cs="宋体"/>
          <w:color w:val="auto"/>
          <w:spacing w:val="4"/>
          <w:sz w:val="24"/>
          <w:highlight w:val="none"/>
          <w:lang w:val="en-US" w:eastAsia="zh-CN"/>
        </w:rPr>
        <w:t xml:space="preserve">4</w:t>
      </w:r>
      <w:r>
        <w:rPr>
          <w:rFonts w:hint="eastAsia" w:ascii="宋体" w:hAnsi="宋体" w:cs="宋体"/>
          <w:color w:val="auto"/>
          <w:spacing w:val="4"/>
          <w:sz w:val="24"/>
          <w:highlight w:val="none"/>
        </w:rPr>
        <w:t xml:space="preserve">小时内立即进行检测工作，并且按照工程进度和规范要求随时进行检测，确保不影响工程的正常施工。</w:t>
      </w:r>
      <w:r/>
    </w:p>
    <w:p>
      <w:pPr>
        <w:ind w:firstLine="496"/>
        <w:spacing w:line="52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6、本工程的付款方式为：</w:t>
      </w:r>
      <w:r>
        <w:rPr>
          <w:rFonts w:hint="eastAsia" w:ascii="宋体" w:hAnsi="宋体" w:cs="宋体"/>
          <w:color w:val="auto"/>
          <w:sz w:val="24"/>
          <w:highlight w:val="none"/>
        </w:rPr>
        <w:t xml:space="preserve">工程竣工验收且报送检测综合报告后付至合同价的60%，工程竣工结算核对并双方确认签字后在当年年底前付清。甲方付款前乙方应提供相同金额的增值税专用发票。（本项目涉及的所有款项皆不计取利息）。</w:t>
      </w:r>
      <w:r/>
    </w:p>
    <w:p>
      <w:pPr>
        <w:ind w:firstLine="496"/>
        <w:spacing w:line="520" w:lineRule="exact"/>
        <w:rPr>
          <w:rFonts w:ascii="宋体" w:hAnsi="宋体" w:cs="宋体"/>
          <w:color w:val="auto"/>
          <w:sz w:val="24"/>
          <w:highlight w:val="none"/>
        </w:rPr>
      </w:pPr>
      <w:r>
        <w:rPr>
          <w:rFonts w:hint="eastAsia" w:ascii="宋体" w:hAnsi="宋体" w:cs="宋体"/>
          <w:color w:val="auto"/>
          <w:spacing w:val="4"/>
          <w:sz w:val="24"/>
          <w:highlight w:val="none"/>
        </w:rPr>
        <w:t xml:space="preserve">7、</w:t>
      </w:r>
      <w:r>
        <w:rPr>
          <w:rFonts w:hint="eastAsia" w:ascii="宋体" w:hAnsi="宋体" w:cs="宋体"/>
          <w:color w:val="auto"/>
          <w:sz w:val="24"/>
          <w:highlight w:val="none"/>
        </w:rPr>
        <w:t xml:space="preserve">合同形式：固定费率，实际检测的数量以采购人及监理单位确认的工程施工（检测）方案为准，成交供应商须按设计及规范要求进行检测。</w:t>
      </w:r>
      <w:r/>
    </w:p>
    <w:p>
      <w:pPr>
        <w:ind w:firstLine="496"/>
        <w:spacing w:line="520" w:lineRule="exact"/>
        <w:rPr>
          <w:rFonts w:ascii="黑体" w:hAnsi="黑体" w:eastAsia="黑体" w:cs="黑体"/>
          <w:color w:val="auto"/>
          <w:sz w:val="36"/>
          <w:szCs w:val="22"/>
          <w:highlight w:val="none"/>
        </w:rPr>
      </w:pPr>
      <w:r>
        <w:rPr>
          <w:rFonts w:hint="eastAsia" w:ascii="宋体" w:hAnsi="宋体" w:cs="宋体"/>
          <w:color w:val="auto"/>
          <w:spacing w:val="4"/>
          <w:sz w:val="24"/>
          <w:highlight w:val="none"/>
        </w:rPr>
        <w:t xml:space="preserve">8、签订合同前，成交供应商需向采购人递交履约保证金，履约担保金额：合同价的10%；履约担保的形式：中标后签订合同前</w:t>
      </w:r>
      <w:r>
        <w:rPr>
          <w:rFonts w:hint="eastAsia" w:ascii="宋体" w:hAnsi="宋体" w:cs="宋体"/>
          <w:color w:val="auto"/>
          <w:sz w:val="24"/>
          <w:highlight w:val="none"/>
          <w:lang w:val="en-US" w:eastAsia="zh-CN"/>
        </w:rPr>
        <w:t xml:space="preserve">成交供应商</w:t>
      </w:r>
      <w:r>
        <w:rPr>
          <w:rFonts w:hint="eastAsia" w:ascii="宋体" w:hAnsi="宋体" w:cs="宋体"/>
          <w:color w:val="auto"/>
          <w:spacing w:val="4"/>
          <w:sz w:val="24"/>
          <w:highlight w:val="none"/>
        </w:rPr>
        <w:t xml:space="preserve">自主选择以电汇、转账、支票、汇票、本票（限泰州同城）、保函、保证保险等非现金形式。</w:t>
      </w:r>
      <w:r>
        <w:rPr>
          <w:color w:val="auto"/>
          <w:highlight w:val="none"/>
        </w:rPr>
        <w:br w:type="page" w:clear="all"/>
      </w:r>
      <w:r/>
    </w:p>
    <w:p>
      <w:pPr>
        <w:pStyle w:val="692"/>
        <w:numPr>
          <w:ilvl w:val="0"/>
          <w:numId w:val="1"/>
        </w:numPr>
        <w:jc w:val="center"/>
        <w:rPr>
          <w:rFonts w:ascii="黑体" w:hAnsi="黑体" w:eastAsia="黑体" w:cs="黑体"/>
          <w:color w:val="auto"/>
          <w:sz w:val="36"/>
          <w:szCs w:val="22"/>
          <w:highlight w:val="none"/>
        </w:rPr>
      </w:pPr>
      <w:r>
        <w:rPr>
          <w:rFonts w:hint="eastAsia" w:ascii="黑体" w:hAnsi="黑体" w:eastAsia="黑体" w:cs="黑体"/>
          <w:color w:val="auto"/>
          <w:sz w:val="36"/>
          <w:szCs w:val="22"/>
          <w:highlight w:val="none"/>
        </w:rPr>
        <w:t xml:space="preserve"> </w:t>
      </w:r>
      <w:bookmarkStart w:id="91" w:name="_Toc20710"/>
      <w:r>
        <w:rPr>
          <w:rFonts w:hint="eastAsia" w:ascii="黑体" w:hAnsi="黑体" w:eastAsia="黑体" w:cs="黑体"/>
          <w:color w:val="auto"/>
          <w:sz w:val="36"/>
          <w:szCs w:val="22"/>
          <w:highlight w:val="none"/>
        </w:rPr>
        <w:t xml:space="preserve">合同草案条款</w:t>
      </w:r>
      <w:bookmarkEnd w:id="91"/>
      <w:r/>
      <w:r/>
    </w:p>
    <w:p>
      <w:pPr>
        <w:ind w:firstLine="460"/>
        <w:spacing w:line="308" w:lineRule="auto"/>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（注：本合同为合同草案条款，以甲乙双方最终签订的合同为准。）</w:t>
      </w:r>
      <w:r/>
    </w:p>
    <w:p>
      <w:pPr>
        <w:rPr>
          <w:color w:val="auto"/>
          <w:highlight w:val="none"/>
        </w:rPr>
      </w:pPr>
      <w:r>
        <w:rPr>
          <w:color w:val="auto"/>
          <w:highlight w:val="none"/>
        </w:rPr>
      </w:r>
      <w:r/>
    </w:p>
    <w:p>
      <w:pPr>
        <w:jc w:val="center"/>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建设工程委托检测合同</w:t>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委托方名称：</w:t>
      </w:r>
      <w:r>
        <w:rPr>
          <w:rFonts w:hint="eastAsia" w:ascii="宋体" w:hAnsi="宋体" w:eastAsia="宋体" w:cs="宋体"/>
          <w:color w:val="auto"/>
          <w:sz w:val="24"/>
          <w:szCs w:val="24"/>
          <w:highlight w:val="none"/>
          <w:u w:val="single"/>
        </w:rPr>
        <w:t xml:space="preserve">泰州医药高新技术产业开发区（泰州市高港区）区级政府投资项目集中建设中心</w:t>
      </w:r>
      <w:r>
        <w:rPr>
          <w:rFonts w:hint="eastAsia" w:ascii="宋体" w:hAnsi="宋体" w:eastAsia="宋体" w:cs="宋体"/>
          <w:color w:val="auto"/>
          <w:sz w:val="24"/>
          <w:szCs w:val="24"/>
          <w:highlight w:val="none"/>
        </w:rPr>
        <w:t xml:space="preserve">（以下简称甲方）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检测方名称：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为确保甲方开发（建设）项目工程质量，及时提供工程质量检测数据，同时，为保障双方合法利益，根据《中华人民共和国民法典》规定，经双方协商一致，签订本合同。</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第一条  工程概况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工程地点：</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工程规模：</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520" w:lineRule="exact"/>
        <w:widowControl w:val="off"/>
        <w:tabs>
          <w:tab w:val="right" w:pos="830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合同价：暂定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万元，响应优惠率：</w:t>
      </w:r>
      <w:r>
        <w:rPr>
          <w:rFonts w:hint="eastAsia" w:ascii="宋体" w:hAnsi="宋体" w:eastAsia="宋体" w:cs="宋体"/>
          <w:color w:val="auto"/>
          <w:sz w:val="24"/>
          <w:szCs w:val="24"/>
          <w:highlight w:val="none"/>
          <w:u w:val="single"/>
        </w:rPr>
        <w:t xml:space="preserve">       </w:t>
      </w:r>
      <w:r/>
    </w:p>
    <w:p>
      <w:pPr>
        <w:ind w:firstLine="496"/>
        <w:keepLines w:val="0"/>
        <w:keepNext w:val="0"/>
        <w:pageBreakBefore w:val="0"/>
        <w:spacing w:line="5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4"/>
          <w:sz w:val="24"/>
          <w:szCs w:val="24"/>
          <w:highlight w:val="none"/>
        </w:rPr>
        <w:t xml:space="preserve">合同履行期限：暂定</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日历天（与施工工期同步），若遇工期延长情况时，检测费不作任何调整。</w:t>
      </w:r>
      <w:r>
        <w:rPr>
          <w:rFonts w:hint="eastAsia" w:ascii="宋体" w:hAnsi="宋体" w:eastAsia="宋体" w:cs="宋体"/>
          <w:color w:val="auto"/>
          <w:sz w:val="24"/>
          <w:szCs w:val="24"/>
          <w:highlight w:val="none"/>
        </w:rPr>
        <w:t xml:space="preserve">      </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第二条  甲方的义务和职责</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（1）准确提供工程信息，对乙方的检测工作提供必要的协助。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（2）甲方或工程监理单位监督将试样及时送至试验室实施检测，按要求认真填写检验委托协议书，明确样品的相关信息及检测参数要求，确认检测依据，办理有关检测手续。</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（3）指定符合条件的取样人员、见证人员，保证按有关规定要求进行见证取样送检，确保样品的真实性、代表性、完整性。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（4）现场检测时，须提前约定时间，并提供必要的检测条件。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（5）收取乙方开具的合法有效增值税发票后，按合同要求支付检测费用。</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第三条  乙方的义务和职责</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（1）遵守国家有关方针政策和法律规范，严格执行现行规范、标准和规程（检测依据在委托协议书中明确），在核定的资质范围内开展工作。</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（2）遵守《江苏省建设工程质量检测行业职业道德准则》，确保检测数据准确、公正。</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（3）做到公平、公正、合法、有序的竞争，自觉维护市场秩序，不得采用低价、违规承诺等恶性竞争手段承接业务。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（4）严格执行不合格数据上报制度，自觉接受各级建设行政部门的监督和管理。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（5）做到“公开检测依据、公开检测流程、公开人员身份、公开收费标准、公开服务承诺”，主动接受社会监督。</w:t>
      </w:r>
      <w:r/>
    </w:p>
    <w:p>
      <w:pPr>
        <w:ind w:firstLine="480"/>
        <w:keepLines w:val="0"/>
        <w:keepNext w:val="0"/>
        <w:pageBreakBefore w:val="0"/>
        <w:spacing w:line="520" w:lineRule="exact"/>
        <w:widowControl w:val="off"/>
        <w:tabs>
          <w:tab w:val="left" w:pos="8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（6）及时完成检测任务，严格按照服务承诺期限提交检测报告。</w:t>
      </w:r>
      <w:r/>
    </w:p>
    <w:p>
      <w:pPr>
        <w:ind w:firstLine="480"/>
        <w:keepLines w:val="0"/>
        <w:keepNext w:val="0"/>
        <w:pageBreakBefore w:val="0"/>
        <w:spacing w:line="520" w:lineRule="exact"/>
        <w:widowControl w:val="off"/>
        <w:tabs>
          <w:tab w:val="left" w:pos="8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（7）提供必要的检测咨询服务，对涉及甲方技术资料进行保密，甲方所提供的技术资料、数据和涉及甲方的商业机密乙方不得引用、发表。合同变更、解除或者终止，乙方均应继续承担约定的保密义务。</w:t>
      </w:r>
      <w:r/>
    </w:p>
    <w:p>
      <w:pPr>
        <w:ind w:firstLine="480"/>
        <w:keepLines w:val="0"/>
        <w:keepNext w:val="0"/>
        <w:pageBreakBefore w:val="0"/>
        <w:spacing w:line="520" w:lineRule="exact"/>
        <w:widowControl w:val="off"/>
        <w:tabs>
          <w:tab w:val="left" w:pos="8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（8）由于乙方自身原因，未及时开展检测工作及出具检测报告的，延误项目工期的，按每延误一天罚款2000元。</w:t>
      </w:r>
      <w:r/>
    </w:p>
    <w:p>
      <w:pPr>
        <w:ind w:firstLine="480"/>
        <w:keepLines w:val="0"/>
        <w:keepNext w:val="0"/>
        <w:pageBreakBefore w:val="0"/>
        <w:spacing w:line="520" w:lineRule="exact"/>
        <w:widowControl w:val="off"/>
        <w:tabs>
          <w:tab w:val="left" w:pos="8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（9）乙方须按照国家相关规范标准进行检测，乙方须对检测成果付全面责任，若出现相关单位反映乙方在检测过程中弄虚作假，一经查实，每次罚款合同价的10%，同时上报行业监管部门，并列入甲方黑名单。</w:t>
      </w:r>
      <w:r/>
    </w:p>
    <w:p>
      <w:pPr>
        <w:pStyle w:val="914"/>
        <w:ind w:righ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（10）如检测报告出现错误的，乙方应退回甲方款项，因乙方过失给甲方带来损失的，应承担赔偿责任。</w:t>
      </w:r>
      <w:r/>
    </w:p>
    <w:p>
      <w:pPr>
        <w:pStyle w:val="914"/>
        <w:ind w:righ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（11）如因乙方原因检测不及时，影响工程进度，发现一次扣款5000元。</w:t>
      </w:r>
      <w:r/>
    </w:p>
    <w:p>
      <w:pPr>
        <w:ind w:firstLine="480"/>
        <w:keepLines w:val="0"/>
        <w:keepNext w:val="0"/>
        <w:pageBreakBefore w:val="0"/>
        <w:spacing w:line="520" w:lineRule="exact"/>
        <w:widowControl w:val="off"/>
        <w:tabs>
          <w:tab w:val="left" w:pos="8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（12）协助甲方做好《建设工程质量检测计划》编制工作。</w:t>
      </w:r>
      <w:r/>
    </w:p>
    <w:p>
      <w:pPr>
        <w:ind w:firstLine="480"/>
        <w:keepLines w:val="0"/>
        <w:keepNext w:val="0"/>
        <w:pageBreakBefore w:val="0"/>
        <w:spacing w:line="520" w:lineRule="exact"/>
        <w:widowControl w:val="off"/>
        <w:tabs>
          <w:tab w:val="left" w:pos="8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（13）负责向甲方、监理、施工单位提供《建设工程质量检测方案》。</w:t>
      </w:r>
      <w:r/>
    </w:p>
    <w:p>
      <w:pPr>
        <w:ind w:firstLine="480"/>
        <w:keepLines w:val="0"/>
        <w:keepNext w:val="0"/>
        <w:pageBreakBefore w:val="0"/>
        <w:spacing w:line="520" w:lineRule="exact"/>
        <w:widowControl w:val="off"/>
        <w:tabs>
          <w:tab w:val="left" w:pos="8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（14）负责向甲方提供《建设工程质量检测综合报告》。</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第四条  工程检测费的计算及支付方式</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（1）最终结算方式：按实际工作量，以“检测的数量×收费标准×(1-成交响应优惠率)”予以计算，其余任何费用甲方不再承担，且最终结算价不得超过</w:t>
      </w:r>
      <w:r>
        <w:rPr>
          <w:rFonts w:hint="eastAsia" w:ascii="宋体" w:hAnsi="宋体" w:eastAsia="宋体" w:cs="宋体"/>
          <w:bCs/>
          <w:color w:val="auto"/>
          <w:sz w:val="24"/>
          <w:szCs w:val="24"/>
          <w:highlight w:val="none"/>
          <w:lang w:val="en-US" w:eastAsia="zh-CN"/>
        </w:rPr>
        <w:t xml:space="preserve">143</w:t>
      </w:r>
      <w:r>
        <w:rPr>
          <w:rFonts w:hint="eastAsia" w:ascii="宋体" w:hAnsi="宋体" w:eastAsia="宋体" w:cs="宋体"/>
          <w:bCs/>
          <w:color w:val="auto"/>
          <w:sz w:val="24"/>
          <w:szCs w:val="24"/>
          <w:highlight w:val="none"/>
          <w:lang w:val="zh-CN"/>
        </w:rPr>
        <w:t xml:space="preserve">万元</w:t>
      </w:r>
      <w:r>
        <w:rPr>
          <w:rFonts w:hint="eastAsia" w:ascii="宋体" w:hAnsi="宋体" w:eastAsia="宋体" w:cs="宋体"/>
          <w:color w:val="auto"/>
          <w:sz w:val="24"/>
          <w:szCs w:val="24"/>
          <w:highlight w:val="none"/>
        </w:rPr>
        <w:t xml:space="preserve">。收费标准执行</w:t>
      </w:r>
      <w:r>
        <w:rPr>
          <w:rFonts w:hint="eastAsia" w:ascii="宋体" w:hAnsi="宋体" w:eastAsia="宋体" w:cs="宋体"/>
          <w:b/>
          <w:color w:val="auto"/>
          <w:sz w:val="24"/>
          <w:szCs w:val="24"/>
          <w:highlight w:val="none"/>
          <w:lang w:val="zh-CN"/>
        </w:rPr>
        <w:t xml:space="preserve">苏价服[2001]113号、交质公【2016】8号、泰州市工程质量检测行业工程质量检测和建筑材料试验收费指导价等文件（</w:t>
      </w:r>
      <w:r>
        <w:rPr>
          <w:rFonts w:hint="eastAsia" w:ascii="宋体" w:hAnsi="宋体" w:eastAsia="宋体" w:cs="宋体"/>
          <w:b/>
          <w:color w:val="auto"/>
          <w:sz w:val="24"/>
          <w:szCs w:val="24"/>
          <w:highlight w:val="none"/>
        </w:rPr>
        <w:t xml:space="preserve">检测收费标准以排名靠前收费文件优先</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rPr>
        <w:t xml:space="preserve">。无收费标准的： (1)有相似检测工艺或检测方法的，由乙方参照相似检测工艺，收费标准*成交响应费率*所需检测的工程量，经甲方或其委托单位确认后执行，其余任何费用甲方不再承担； (2)无相似检测工艺和检测方法的，由乙方根据检测工艺和检测方法按实报价，经甲方或其委托单位审核。并协商同意后执行，其余任何费用甲方不再承担。如协商不能达成共识的，甲方有权委托他人检测（委托价格低于乙方上报价格），但该项检测费用由乙方支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（2）本合同不包含材料检测不合格时产生复检或再检的检测费用。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工程所有试验检测项目，均由乙方负责完成，若其中部分试验检测项目乙方不具备相应的检测资质时，乙方必须委托具有相应资质的检测单位进行检测并出具检测报告。乙方与委托的检测单位产生费用的多与少，甲方概不负责。甲方只按照本磋商文件的最终结算方式与供应商进行结算。</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付款方式：工程竣工验收且报送检测综合报告后付至合同价的60%，工程竣工结算核对并双方确认签字后在当年年底前付清。甲方付款前乙方应提供相同金额的增值税发票。（本项目涉及的所有款项皆不计取利息）。</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第五条  双方约定的补充内容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（1）本合同一式</w:t>
      </w:r>
      <w:r>
        <w:rPr>
          <w:rFonts w:hint="eastAsia" w:ascii="宋体" w:hAnsi="宋体" w:eastAsia="宋体" w:cs="宋体"/>
          <w:color w:val="auto"/>
          <w:sz w:val="24"/>
          <w:szCs w:val="24"/>
          <w:highlight w:val="none"/>
          <w:u w:val="single"/>
        </w:rPr>
        <w:t xml:space="preserve"> 陆 </w:t>
      </w:r>
      <w:r>
        <w:rPr>
          <w:rFonts w:hint="eastAsia" w:ascii="宋体" w:hAnsi="宋体" w:eastAsia="宋体" w:cs="宋体"/>
          <w:color w:val="auto"/>
          <w:sz w:val="24"/>
          <w:szCs w:val="24"/>
          <w:highlight w:val="none"/>
        </w:rPr>
        <w:t xml:space="preserve">份，具有同等法律效力，甲方执</w:t>
      </w:r>
      <w:r>
        <w:rPr>
          <w:rFonts w:hint="eastAsia" w:ascii="宋体" w:hAnsi="宋体" w:eastAsia="宋体" w:cs="宋体"/>
          <w:color w:val="auto"/>
          <w:sz w:val="24"/>
          <w:szCs w:val="24"/>
          <w:highlight w:val="none"/>
          <w:u w:val="single"/>
        </w:rPr>
        <w:t xml:space="preserve"> 肆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份。自双方代表签字、盖章之日起生效，至双方结算清检测费用之日终止。</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（2）本合同未尽事宜由双方协商解决。</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（3）追加合同协议内容与本合同具有同等法律效力。</w:t>
      </w:r>
      <w:r/>
    </w:p>
    <w:p>
      <w:pPr>
        <w:ind w:firstLine="480"/>
        <w:keepLines w:val="0"/>
        <w:keepNext w:val="0"/>
        <w:pageBreakBefore w:val="0"/>
        <w:spacing w:line="520" w:lineRule="exact"/>
        <w:widowControl w:val="off"/>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（4）本合同在履行过程中如发生争议，由双方协商解决，协商不成后，应提交至泰州仲裁委员会仲裁。</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right="0"/>
        <w:keepLines w:val="0"/>
        <w:keepNext w:val="0"/>
        <w:pageBreakBefore w:val="0"/>
        <w:spacing w:line="52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甲方（签章）：                       乙方（签章）：</w:t>
      </w:r>
      <w:r/>
    </w:p>
    <w:p>
      <w:pPr>
        <w:ind w:right="0"/>
        <w:keepLines w:val="0"/>
        <w:keepNext w:val="0"/>
        <w:pageBreakBefore w:val="0"/>
        <w:spacing w:line="52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甲方代表人（签字）：                 乙方代表人（签字）：</w:t>
      </w:r>
      <w:r/>
    </w:p>
    <w:p>
      <w:pPr>
        <w:ind w:right="0"/>
        <w:keepLines w:val="0"/>
        <w:keepNext w:val="0"/>
        <w:pageBreakBefore w:val="0"/>
        <w:spacing w:line="52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甲方联系电话：                       乙方联系电话：</w:t>
      </w:r>
      <w:r/>
    </w:p>
    <w:p>
      <w:pPr>
        <w:ind w:right="0"/>
        <w:keepLines w:val="0"/>
        <w:keepNext w:val="0"/>
        <w:pageBreakBefore w:val="0"/>
        <w:spacing w:line="52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甲方开户银行：                       乙方开户银行： </w:t>
      </w:r>
      <w:r/>
    </w:p>
    <w:p>
      <w:pPr>
        <w:ind w:right="0"/>
        <w:keepLines w:val="0"/>
        <w:keepNext w:val="0"/>
        <w:pageBreakBefore w:val="0"/>
        <w:spacing w:line="520" w:lineRule="exact"/>
        <w:widowControl w:val="off"/>
        <w:tabs>
          <w:tab w:val="right" w:pos="8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                               账号： </w:t>
      </w:r>
      <w:r/>
    </w:p>
    <w:p>
      <w:pPr>
        <w:ind w:right="0" w:firstLine="3360"/>
        <w:keepLines w:val="0"/>
        <w:keepNext w:val="0"/>
        <w:pageBreakBefore w:val="0"/>
        <w:spacing w:line="52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0" w:firstLine="4080"/>
        <w:keepLines w:val="0"/>
        <w:keepNext w:val="0"/>
        <w:pageBreakBefore w:val="0"/>
        <w:spacing w:line="52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合同签订时间：    年   月   日</w:t>
      </w:r>
      <w:r/>
    </w:p>
    <w:p>
      <w:pPr>
        <w:spacing w:line="460" w:lineRule="exact"/>
        <w:rPr>
          <w:rFonts w:ascii="黑体" w:hAnsi="黑体" w:eastAsia="黑体" w:cs="黑体"/>
          <w:color w:val="auto"/>
          <w:sz w:val="40"/>
          <w:highlight w:val="none"/>
        </w:rPr>
      </w:pPr>
      <w:r>
        <w:rPr>
          <w:color w:val="auto"/>
          <w:highlight w:val="none"/>
        </w:rPr>
        <w:br w:type="page" w:clear="all"/>
      </w:r>
      <w:r/>
    </w:p>
    <w:p>
      <w:pPr>
        <w:pStyle w:val="692"/>
        <w:jc w:val="center"/>
        <w:rPr>
          <w:rFonts w:ascii="黑体" w:hAnsi="黑体" w:eastAsia="黑体" w:cs="黑体"/>
          <w:color w:val="auto"/>
          <w:sz w:val="40"/>
          <w:szCs w:val="24"/>
          <w:highlight w:val="none"/>
        </w:rPr>
        <w:sectPr>
          <w:headerReference w:type="default" r:id="rId9"/>
          <w:footerReference w:type="default" r:id="rId11"/>
          <w:footnotePr/>
          <w:endnotePr/>
          <w:type w:val="nextPage"/>
          <w:pgSz w:w="11906" w:h="16838" w:orient="portrait"/>
          <w:pgMar w:top="1580" w:right="1519" w:bottom="1440" w:left="1519" w:header="567" w:footer="850" w:gutter="0"/>
          <w:cols w:num="1" w:sep="0" w:space="425" w:equalWidth="1"/>
          <w:docGrid w:linePitch="360"/>
        </w:sectPr>
      </w:pPr>
      <w:r>
        <w:rPr>
          <w:rFonts w:ascii="黑体" w:hAnsi="黑体" w:eastAsia="黑体" w:cs="黑体"/>
          <w:color w:val="auto"/>
          <w:sz w:val="40"/>
          <w:szCs w:val="24"/>
          <w:highlight w:val="none"/>
        </w:rPr>
      </w:r>
      <w:r/>
    </w:p>
    <w:p>
      <w:pPr>
        <w:pStyle w:val="692"/>
        <w:jc w:val="center"/>
        <w:rPr>
          <w:rFonts w:ascii="黑体" w:hAnsi="黑体" w:eastAsia="黑体" w:cs="黑体"/>
          <w:color w:val="auto"/>
          <w:sz w:val="36"/>
          <w:szCs w:val="22"/>
          <w:highlight w:val="none"/>
        </w:rPr>
      </w:pPr>
      <w:r/>
      <w:bookmarkStart w:id="92" w:name="_Toc17533"/>
      <w:r>
        <w:rPr>
          <w:rFonts w:hint="eastAsia" w:ascii="黑体" w:hAnsi="黑体" w:eastAsia="黑体" w:cs="黑体"/>
          <w:color w:val="auto"/>
          <w:sz w:val="36"/>
          <w:szCs w:val="22"/>
          <w:highlight w:val="none"/>
        </w:rPr>
        <w:t xml:space="preserve">第六章  响应文件格式</w:t>
      </w:r>
      <w:bookmarkEnd w:id="92"/>
      <w:r/>
      <w:r/>
    </w:p>
    <w:p>
      <w:pPr>
        <w:ind w:firstLine="460"/>
        <w:jc w:val="left"/>
        <w:spacing w:line="332" w:lineRule="auto"/>
        <w:rPr>
          <w:rFonts w:asciiTheme="minorEastAsia" w:hAnsiTheme="minorEastAsia" w:cstheme="minorEastAsia"/>
          <w:color w:val="auto"/>
          <w:sz w:val="23"/>
          <w:szCs w:val="23"/>
          <w:highlight w:val="none"/>
        </w:rPr>
      </w:pPr>
      <w:r>
        <w:rPr>
          <w:rFonts w:hint="eastAsia" w:asciiTheme="minorEastAsia" w:hAnsiTheme="minorEastAsia" w:cstheme="minorEastAsia"/>
          <w:color w:val="auto"/>
          <w:sz w:val="23"/>
          <w:szCs w:val="23"/>
          <w:highlight w:val="none"/>
        </w:rPr>
        <w:t xml:space="preserve">全部声明和问题的回答及所附材料必须是真实的、准确的和完整的。</w:t>
      </w:r>
      <w:r/>
    </w:p>
    <w:p>
      <w:pPr>
        <w:pStyle w:val="735"/>
        <w:rPr>
          <w:rFonts w:asciiTheme="minorEastAsia" w:hAnsiTheme="minorEastAsia" w:eastAsiaTheme="minorEastAsia" w:cstheme="minorEastAsia"/>
          <w:color w:val="auto"/>
          <w:sz w:val="23"/>
          <w:szCs w:val="23"/>
          <w:highlight w:val="none"/>
        </w:rPr>
      </w:pPr>
      <w:r>
        <w:rPr>
          <w:rFonts w:asciiTheme="minorEastAsia" w:hAnsiTheme="minorEastAsia" w:eastAsiaTheme="minorEastAsia" w:cstheme="minorEastAsia"/>
          <w:color w:val="auto"/>
          <w:sz w:val="23"/>
          <w:szCs w:val="23"/>
          <w:highlight w:val="none"/>
        </w:rPr>
      </w:r>
      <w:r/>
    </w:p>
    <w:p>
      <w:pPr>
        <w:rPr>
          <w:rFonts w:asciiTheme="minorEastAsia" w:hAnsiTheme="minorEastAsia" w:cstheme="minorEastAsia"/>
          <w:color w:val="auto"/>
          <w:sz w:val="23"/>
          <w:szCs w:val="23"/>
          <w:highlight w:val="none"/>
        </w:rPr>
      </w:pPr>
      <w:r>
        <w:rPr>
          <w:color w:val="auto"/>
          <w:highlight w:val="none"/>
        </w:rPr>
        <w:br w:type="page" w:clear="all"/>
      </w:r>
      <w:r/>
    </w:p>
    <w:p>
      <w:pPr>
        <w:jc w:val="center"/>
        <w:rPr>
          <w:b/>
          <w:bCs/>
          <w:color w:val="auto"/>
          <w:sz w:val="52"/>
          <w:szCs w:val="52"/>
          <w:highlight w:val="none"/>
        </w:rPr>
      </w:pPr>
      <w:r>
        <w:rPr>
          <w:b/>
          <w:bCs/>
          <w:color w:val="auto"/>
          <w:sz w:val="52"/>
          <w:szCs w:val="52"/>
          <w:highlight w:val="none"/>
        </w:rPr>
      </w:r>
      <w:r/>
    </w:p>
    <w:p>
      <w:pPr>
        <w:jc w:val="center"/>
        <w:rPr>
          <w:b/>
          <w:bCs/>
          <w:color w:val="auto"/>
          <w:sz w:val="52"/>
          <w:szCs w:val="52"/>
          <w:highlight w:val="none"/>
        </w:rPr>
      </w:pPr>
      <w:r>
        <w:rPr>
          <w:b/>
          <w:bCs/>
          <w:color w:val="auto"/>
          <w:sz w:val="52"/>
          <w:szCs w:val="52"/>
          <w:highlight w:val="none"/>
        </w:rPr>
      </w:r>
      <w:r/>
    </w:p>
    <w:p>
      <w:pPr>
        <w:jc w:val="center"/>
        <w:rPr>
          <w:b/>
          <w:bCs/>
          <w:color w:val="auto"/>
          <w:sz w:val="52"/>
          <w:szCs w:val="52"/>
          <w:highlight w:val="none"/>
        </w:rPr>
      </w:pPr>
      <w:r>
        <w:rPr>
          <w:b/>
          <w:bCs/>
          <w:color w:val="auto"/>
          <w:sz w:val="52"/>
          <w:szCs w:val="52"/>
          <w:highlight w:val="none"/>
        </w:rPr>
      </w:r>
      <w:r/>
    </w:p>
    <w:p>
      <w:pPr>
        <w:jc w:val="center"/>
        <w:rPr>
          <w:rFonts w:ascii="宋体" w:hAnsi="宋体"/>
          <w:color w:val="auto"/>
          <w:sz w:val="72"/>
          <w:szCs w:val="21"/>
          <w:highlight w:val="none"/>
        </w:rPr>
      </w:pPr>
      <w:r>
        <w:rPr>
          <w:rFonts w:hint="eastAsia"/>
          <w:b/>
          <w:bCs/>
          <w:color w:val="auto"/>
          <w:sz w:val="52"/>
          <w:szCs w:val="52"/>
          <w:highlight w:val="none"/>
        </w:rPr>
        <w:t xml:space="preserve">响应文件</w:t>
      </w:r>
      <w:r/>
    </w:p>
    <w:p>
      <w:pPr>
        <w:rPr>
          <w:color w:val="auto"/>
          <w:sz w:val="32"/>
          <w:szCs w:val="32"/>
          <w:highlight w:val="none"/>
        </w:rPr>
      </w:pPr>
      <w:r>
        <w:rPr>
          <w:color w:val="auto"/>
          <w:sz w:val="32"/>
          <w:szCs w:val="32"/>
          <w:highlight w:val="none"/>
        </w:rPr>
      </w:r>
      <w:r/>
    </w:p>
    <w:p>
      <w:pPr>
        <w:ind w:left="566" w:hanging="3"/>
        <w:jc w:val="left"/>
        <w:spacing w:line="480" w:lineRule="auto"/>
        <w:rPr>
          <w:b/>
          <w:color w:val="auto"/>
          <w:sz w:val="28"/>
          <w:szCs w:val="32"/>
          <w:highlight w:val="none"/>
        </w:rPr>
      </w:pPr>
      <w:r>
        <w:rPr>
          <w:b/>
          <w:color w:val="auto"/>
          <w:sz w:val="28"/>
          <w:szCs w:val="32"/>
          <w:highlight w:val="none"/>
        </w:rPr>
      </w:r>
      <w:r/>
    </w:p>
    <w:p>
      <w:pPr>
        <w:ind w:left="566" w:hanging="3"/>
        <w:jc w:val="left"/>
        <w:spacing w:line="480" w:lineRule="auto"/>
        <w:rPr>
          <w:b/>
          <w:color w:val="auto"/>
          <w:sz w:val="28"/>
          <w:szCs w:val="32"/>
          <w:highlight w:val="none"/>
        </w:rPr>
      </w:pPr>
      <w:r>
        <w:rPr>
          <w:b/>
          <w:color w:val="auto"/>
          <w:sz w:val="28"/>
          <w:szCs w:val="32"/>
          <w:highlight w:val="none"/>
        </w:rPr>
      </w:r>
      <w:r/>
    </w:p>
    <w:p>
      <w:pPr>
        <w:pStyle w:val="735"/>
        <w:rPr>
          <w:color w:val="auto"/>
          <w:highlight w:val="none"/>
        </w:rPr>
      </w:pPr>
      <w:r>
        <w:rPr>
          <w:color w:val="auto"/>
          <w:highlight w:val="none"/>
        </w:rPr>
      </w:r>
      <w:r/>
    </w:p>
    <w:p>
      <w:pPr>
        <w:ind w:firstLine="622"/>
        <w:jc w:val="left"/>
        <w:widowControl/>
        <w:rPr>
          <w:rFonts w:ascii="宋体" w:hAnsi="宋体" w:eastAsia="宋体" w:cs="宋体"/>
          <w:b/>
          <w:bCs/>
          <w:color w:val="auto"/>
          <w:sz w:val="31"/>
          <w:szCs w:val="31"/>
          <w:highlight w:val="none"/>
        </w:rPr>
      </w:pPr>
      <w:r>
        <w:rPr>
          <w:rFonts w:hint="eastAsia" w:ascii="宋体" w:hAnsi="宋体" w:eastAsia="宋体" w:cs="宋体"/>
          <w:b/>
          <w:bCs/>
          <w:color w:val="auto"/>
          <w:sz w:val="31"/>
          <w:szCs w:val="31"/>
          <w:highlight w:val="none"/>
        </w:rPr>
        <w:t xml:space="preserve">项目名称：高港实验初级中学异地重建项目材料检测</w:t>
      </w:r>
      <w:r/>
    </w:p>
    <w:p>
      <w:pPr>
        <w:ind w:left="566" w:hanging="3"/>
        <w:jc w:val="left"/>
        <w:spacing w:line="480" w:lineRule="auto"/>
        <w:rPr>
          <w:rFonts w:asciiTheme="minorEastAsia" w:hAnsiTheme="minorEastAsia" w:cstheme="minorEastAsia"/>
          <w:b/>
          <w:color w:val="auto"/>
          <w:sz w:val="30"/>
          <w:szCs w:val="30"/>
          <w:highlight w:val="none"/>
        </w:rPr>
      </w:pPr>
      <w:r>
        <w:rPr>
          <w:rFonts w:asciiTheme="minorEastAsia" w:hAnsiTheme="minorEastAsia" w:cstheme="minorEastAsia"/>
          <w:b/>
          <w:color w:val="auto"/>
          <w:sz w:val="30"/>
          <w:szCs w:val="30"/>
          <w:highlight w:val="none"/>
        </w:rPr>
      </w:r>
      <w:r/>
    </w:p>
    <w:p>
      <w:pPr>
        <w:ind w:left="566" w:hanging="3"/>
        <w:jc w:val="left"/>
        <w:spacing w:line="480" w:lineRule="auto"/>
        <w:rPr>
          <w:rFonts w:asciiTheme="minorEastAsia" w:hAnsiTheme="minorEastAsia" w:cstheme="minorEastAsia"/>
          <w:b/>
          <w:color w:val="auto"/>
          <w:sz w:val="30"/>
          <w:szCs w:val="30"/>
          <w:highlight w:val="none"/>
        </w:rPr>
      </w:pPr>
      <w:r>
        <w:rPr>
          <w:rFonts w:hint="eastAsia" w:asciiTheme="minorEastAsia" w:hAnsiTheme="minorEastAsia" w:cstheme="minorEastAsia"/>
          <w:b/>
          <w:color w:val="auto"/>
          <w:sz w:val="30"/>
          <w:szCs w:val="30"/>
          <w:highlight w:val="none"/>
        </w:rPr>
        <w:t xml:space="preserve">项目编号/包号： </w:t>
      </w:r>
      <w:r/>
    </w:p>
    <w:p>
      <w:pPr>
        <w:ind w:firstLine="622"/>
        <w:jc w:val="left"/>
        <w:widowControl/>
        <w:rPr>
          <w:rFonts w:ascii="宋体" w:hAnsi="宋体" w:eastAsia="宋体" w:cs="宋体"/>
          <w:b/>
          <w:bCs/>
          <w:color w:val="auto"/>
          <w:sz w:val="31"/>
          <w:szCs w:val="31"/>
          <w:highlight w:val="none"/>
        </w:rPr>
      </w:pPr>
      <w:r>
        <w:rPr>
          <w:rFonts w:ascii="宋体" w:hAnsi="宋体" w:eastAsia="宋体" w:cs="宋体"/>
          <w:b/>
          <w:bCs/>
          <w:color w:val="auto"/>
          <w:sz w:val="31"/>
          <w:szCs w:val="31"/>
          <w:highlight w:val="none"/>
        </w:rPr>
      </w:r>
      <w:r/>
    </w:p>
    <w:p>
      <w:pPr>
        <w:ind w:firstLine="622"/>
        <w:jc w:val="left"/>
        <w:widowControl/>
        <w:rPr>
          <w:rFonts w:asciiTheme="minorEastAsia" w:hAnsiTheme="minorEastAsia" w:cstheme="minorEastAsia"/>
          <w:b/>
          <w:color w:val="auto"/>
          <w:sz w:val="30"/>
          <w:szCs w:val="30"/>
          <w:highlight w:val="none"/>
        </w:rPr>
      </w:pPr>
      <w:r>
        <w:rPr>
          <w:rFonts w:hint="eastAsia" w:ascii="宋体" w:hAnsi="宋体" w:eastAsia="宋体" w:cs="宋体"/>
          <w:b/>
          <w:bCs/>
          <w:color w:val="auto"/>
          <w:sz w:val="31"/>
          <w:szCs w:val="31"/>
          <w:highlight w:val="none"/>
        </w:rPr>
        <w:t xml:space="preserve">供应商名称（盖章）：</w:t>
      </w:r>
      <w:r>
        <w:rPr>
          <w:rFonts w:hint="eastAsia" w:asciiTheme="minorEastAsia" w:hAnsiTheme="minorEastAsia" w:cstheme="minorEastAsia"/>
          <w:b/>
          <w:color w:val="auto"/>
          <w:sz w:val="30"/>
          <w:szCs w:val="30"/>
          <w:highlight w:val="none"/>
        </w:rPr>
        <w:t xml:space="preserve">     </w:t>
      </w:r>
      <w:r/>
    </w:p>
    <w:p>
      <w:pPr>
        <w:ind w:firstLine="602"/>
        <w:jc w:val="left"/>
        <w:widowControl/>
        <w:rPr>
          <w:rFonts w:asciiTheme="minorEastAsia" w:hAnsiTheme="minorEastAsia" w:cstheme="minorEastAsia"/>
          <w:b/>
          <w:color w:val="auto"/>
          <w:sz w:val="30"/>
          <w:szCs w:val="30"/>
          <w:highlight w:val="none"/>
        </w:rPr>
      </w:pPr>
      <w:r>
        <w:rPr>
          <w:rFonts w:asciiTheme="minorEastAsia" w:hAnsiTheme="minorEastAsia" w:cstheme="minorEastAsia"/>
          <w:b/>
          <w:color w:val="auto"/>
          <w:sz w:val="30"/>
          <w:szCs w:val="30"/>
          <w:highlight w:val="none"/>
        </w:rPr>
      </w:r>
      <w:r/>
    </w:p>
    <w:p>
      <w:pPr>
        <w:ind w:firstLine="602"/>
        <w:jc w:val="left"/>
        <w:widowControl/>
        <w:rPr>
          <w:rFonts w:eastAsia="宋体" w:asciiTheme="minorEastAsia" w:hAnsiTheme="minorEastAsia" w:cstheme="minorEastAsia"/>
          <w:b/>
          <w:color w:val="auto"/>
          <w:sz w:val="30"/>
          <w:szCs w:val="30"/>
          <w:highlight w:val="none"/>
        </w:rPr>
      </w:pPr>
      <w:r>
        <w:rPr>
          <w:rFonts w:hint="eastAsia" w:asciiTheme="minorEastAsia" w:hAnsiTheme="minorEastAsia" w:cstheme="minorEastAsia"/>
          <w:b/>
          <w:color w:val="auto"/>
          <w:sz w:val="30"/>
          <w:szCs w:val="30"/>
          <w:highlight w:val="none"/>
        </w:rPr>
        <w:t xml:space="preserve">供应商地址：      </w:t>
      </w:r>
      <w:r/>
    </w:p>
    <w:p>
      <w:pPr>
        <w:ind w:left="566" w:hanging="3"/>
        <w:jc w:val="left"/>
        <w:spacing w:line="480" w:lineRule="auto"/>
        <w:rPr>
          <w:rFonts w:asciiTheme="minorEastAsia" w:hAnsiTheme="minorEastAsia" w:cstheme="minorEastAsia"/>
          <w:b/>
          <w:color w:val="auto"/>
          <w:sz w:val="30"/>
          <w:szCs w:val="30"/>
          <w:highlight w:val="none"/>
        </w:rPr>
      </w:pPr>
      <w:r>
        <w:rPr>
          <w:rFonts w:asciiTheme="minorEastAsia" w:hAnsiTheme="minorEastAsia" w:cstheme="minorEastAsia"/>
          <w:b/>
          <w:color w:val="auto"/>
          <w:sz w:val="30"/>
          <w:szCs w:val="30"/>
          <w:highlight w:val="none"/>
        </w:rPr>
      </w:r>
      <w:r/>
    </w:p>
    <w:p>
      <w:pPr>
        <w:ind w:left="566" w:hanging="3"/>
        <w:jc w:val="center"/>
        <w:spacing w:line="480" w:lineRule="auto"/>
        <w:rPr>
          <w:rFonts w:asciiTheme="minorEastAsia" w:hAnsiTheme="minorEastAsia" w:cstheme="minorEastAsia"/>
          <w:b/>
          <w:color w:val="auto"/>
          <w:sz w:val="30"/>
          <w:szCs w:val="30"/>
          <w:highlight w:val="none"/>
        </w:rPr>
      </w:pPr>
      <w:r>
        <w:rPr>
          <w:rFonts w:hint="eastAsia" w:asciiTheme="minorEastAsia" w:hAnsiTheme="minorEastAsia" w:cstheme="minorEastAsia"/>
          <w:b/>
          <w:color w:val="auto"/>
          <w:sz w:val="30"/>
          <w:szCs w:val="30"/>
          <w:highlight w:val="none"/>
        </w:rPr>
        <w:t xml:space="preserve">二○二  年   月  日</w:t>
      </w:r>
      <w:r/>
    </w:p>
    <w:p>
      <w:pPr>
        <w:pStyle w:val="735"/>
        <w:rPr>
          <w:rFonts w:asciiTheme="minorEastAsia" w:hAnsiTheme="minorEastAsia" w:cstheme="minorEastAsia"/>
          <w:b/>
          <w:color w:val="auto"/>
          <w:sz w:val="30"/>
          <w:szCs w:val="30"/>
          <w:highlight w:val="none"/>
        </w:rPr>
      </w:pPr>
      <w:r>
        <w:rPr>
          <w:rFonts w:asciiTheme="minorEastAsia" w:hAnsiTheme="minorEastAsia" w:cstheme="minorEastAsia"/>
          <w:b/>
          <w:color w:val="auto"/>
          <w:sz w:val="30"/>
          <w:szCs w:val="30"/>
          <w:highlight w:val="none"/>
        </w:rPr>
      </w:r>
      <w:r/>
    </w:p>
    <w:p>
      <w:pPr>
        <w:pStyle w:val="735"/>
        <w:rPr>
          <w:rFonts w:asciiTheme="minorEastAsia" w:hAnsiTheme="minorEastAsia" w:cstheme="minorEastAsia"/>
          <w:b/>
          <w:color w:val="auto"/>
          <w:sz w:val="30"/>
          <w:szCs w:val="30"/>
          <w:highlight w:val="none"/>
        </w:rPr>
      </w:pPr>
      <w:r>
        <w:rPr>
          <w:rFonts w:asciiTheme="minorEastAsia" w:hAnsiTheme="minorEastAsia" w:cstheme="minorEastAsia"/>
          <w:b/>
          <w:color w:val="auto"/>
          <w:sz w:val="30"/>
          <w:szCs w:val="30"/>
          <w:highlight w:val="none"/>
        </w:rPr>
      </w:r>
      <w:r/>
    </w:p>
    <w:p>
      <w:pPr>
        <w:rPr>
          <w:rFonts w:asciiTheme="minorEastAsia" w:hAnsiTheme="minorEastAsia" w:cstheme="minorEastAsia"/>
          <w:b/>
          <w:color w:val="auto"/>
          <w:sz w:val="30"/>
          <w:szCs w:val="30"/>
          <w:highlight w:val="none"/>
        </w:rPr>
      </w:pPr>
      <w:r>
        <w:rPr>
          <w:color w:val="auto"/>
          <w:highlight w:val="none"/>
        </w:rPr>
        <w:br w:type="page" w:clear="all"/>
      </w:r>
      <w:r/>
    </w:p>
    <w:p>
      <w:pPr>
        <w:keepLines w:val="0"/>
        <w:keepNext w:val="0"/>
        <w:pageBreakBefore w:val="0"/>
        <w:spacing w:line="520" w:lineRule="exact"/>
        <w:widowControl w:val="off"/>
        <w:rPr>
          <w:rFonts w:hint="eastAsia" w:ascii="宋体" w:hAnsi="宋体" w:eastAsia="宋体" w:cs="宋体"/>
          <w:b/>
          <w:bCs/>
          <w:color w:val="auto"/>
          <w:sz w:val="26"/>
          <w:szCs w:val="26"/>
          <w:highlight w:val="none"/>
        </w:rPr>
        <w:outlineLvl w:val="1"/>
      </w:pPr>
      <w:r/>
      <w:bookmarkStart w:id="93" w:name="_Toc11505"/>
      <w:r>
        <w:rPr>
          <w:rFonts w:hint="eastAsia" w:ascii="宋体" w:hAnsi="宋体" w:eastAsia="宋体" w:cs="宋体"/>
          <w:b/>
          <w:bCs/>
          <w:color w:val="auto"/>
          <w:sz w:val="26"/>
          <w:szCs w:val="26"/>
          <w:highlight w:val="none"/>
        </w:rPr>
        <w:t xml:space="preserve">1 满足《中华人民共和国政府采购法》第二十二条规定</w:t>
      </w:r>
      <w:r>
        <w:rPr>
          <w:rFonts w:hint="eastAsia" w:ascii="宋体" w:hAnsi="宋体" w:eastAsia="宋体" w:cs="宋体"/>
          <w:color w:val="auto"/>
          <w:sz w:val="24"/>
          <w:highlight w:val="none"/>
        </w:rPr>
        <w:t xml:space="preserve">（实质性格式）</w:t>
      </w:r>
      <w:bookmarkEnd w:id="93"/>
      <w:r>
        <w:rPr>
          <w:rFonts w:hint="eastAsia" w:ascii="宋体" w:hAnsi="宋体" w:eastAsia="宋体" w:cs="宋体"/>
          <w:b/>
          <w:bCs/>
          <w:color w:val="auto"/>
          <w:sz w:val="26"/>
          <w:szCs w:val="26"/>
          <w:highlight w:val="none"/>
        </w:rPr>
        <w:t xml:space="preserve"> </w:t>
      </w:r>
      <w:r/>
    </w:p>
    <w:p>
      <w:pPr>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52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 （1）营业执照等证明文件 </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提供近六个月中至少一个月份的财务状况报告（资产负债表和利润表）或由会计师事务所出具的近两年中任意一个年度的审计报告，其他组织、自然人及成立未满一年的法人可提供银行出具的资信证明复印件。</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（3）具备履行合同所必需的设备和专业技术能力（或提供履行合同所必需的设备和专业技术能力的书面说明）</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（4）供应商提供近六个月中至少一个月份的依法</w:t>
      </w:r>
      <w:r>
        <w:rPr>
          <w:rFonts w:hint="eastAsia" w:ascii="宋体" w:hAnsi="宋体" w:eastAsia="宋体" w:cs="宋体"/>
          <w:b/>
          <w:bCs/>
          <w:color w:val="auto"/>
          <w:sz w:val="24"/>
          <w:highlight w:val="none"/>
        </w:rPr>
        <w:t xml:space="preserve">缴纳税收</w:t>
      </w:r>
      <w:r>
        <w:rPr>
          <w:rFonts w:hint="eastAsia" w:ascii="宋体" w:hAnsi="宋体" w:eastAsia="宋体" w:cs="宋体"/>
          <w:color w:val="auto"/>
          <w:sz w:val="24"/>
          <w:highlight w:val="none"/>
        </w:rPr>
        <w:t xml:space="preserve">的相关材料（提供相关主管部门证明或银行代扣证明）复印件；提供供应商近六个月中至少一个月份的依法</w:t>
      </w:r>
      <w:r>
        <w:rPr>
          <w:rFonts w:hint="eastAsia" w:ascii="宋体" w:hAnsi="宋体" w:eastAsia="宋体" w:cs="宋体"/>
          <w:b/>
          <w:bCs/>
          <w:color w:val="auto"/>
          <w:sz w:val="24"/>
          <w:highlight w:val="none"/>
        </w:rPr>
        <w:t xml:space="preserve">缴纳社会保障资金</w:t>
      </w:r>
      <w:r>
        <w:rPr>
          <w:rFonts w:hint="eastAsia" w:ascii="宋体" w:hAnsi="宋体" w:eastAsia="宋体" w:cs="宋体"/>
          <w:color w:val="auto"/>
          <w:sz w:val="24"/>
          <w:highlight w:val="none"/>
        </w:rPr>
        <w:t xml:space="preserve">的相关材料（提供相关主管部门证明或银行代扣证明）复印件。依法免缴或缓缴的供应商，应提供相应文件证明。</w:t>
      </w:r>
      <w:r/>
    </w:p>
    <w:p>
      <w:pPr>
        <w:pStyle w:val="734"/>
        <w:rPr>
          <w:rFonts w:ascii="宋体" w:hAnsi="宋体" w:eastAsia="宋体" w:cs="宋体"/>
          <w:b/>
          <w:bCs/>
          <w:color w:val="auto"/>
          <w:sz w:val="24"/>
          <w:szCs w:val="24"/>
          <w:highlight w:val="none"/>
          <w:lang w:val="en-US" w:eastAsia="zh-CN"/>
        </w:rPr>
      </w:pPr>
      <w:r>
        <w:rPr>
          <w:rFonts w:ascii="宋体" w:hAnsi="宋体" w:eastAsia="宋体" w:cs="宋体"/>
          <w:b/>
          <w:bCs/>
          <w:color w:val="auto"/>
          <w:sz w:val="24"/>
          <w:szCs w:val="24"/>
          <w:highlight w:val="none"/>
          <w:lang w:val="en-US" w:eastAsia="zh-CN"/>
        </w:rPr>
      </w:r>
      <w:r/>
    </w:p>
    <w:p>
      <w:pPr>
        <w:spacing w:line="360" w:lineRule="auto"/>
        <w:rPr>
          <w:rFonts w:ascii="宋体" w:hAnsi="宋体" w:eastAsia="宋体" w:cs="宋体"/>
          <w:color w:val="auto"/>
          <w:sz w:val="24"/>
          <w:highlight w:val="none"/>
        </w:rPr>
      </w:pPr>
      <w:r>
        <w:rPr>
          <w:color w:val="auto"/>
          <w:highlight w:val="none"/>
        </w:rPr>
        <w:br w:type="page" w:clear="all"/>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供应商声明书（实质性格式） </w:t>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供应商声明书</w:t>
      </w:r>
      <w:r/>
    </w:p>
    <w:p>
      <w:pPr>
        <w:keepLines w:val="0"/>
        <w:keepNext w:val="0"/>
        <w:pageBreakBefore w:val="0"/>
        <w:spacing w:line="520" w:lineRule="exact"/>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采购人或采购代理机构 </w:t>
      </w:r>
      <w:r/>
    </w:p>
    <w:p>
      <w:pPr>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在参与本次项目磋商中，我单位承诺： </w:t>
      </w:r>
      <w:r/>
    </w:p>
    <w:p>
      <w:pPr>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 </w:t>
      </w:r>
      <w:r/>
    </w:p>
    <w:p>
      <w:pPr>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（二）我单位不属于政府采购法律、行政法规规定的公益一类事业单位或使用事业编制且由财政拨款保障的群团组织（仅适用于政府购买服务项目）； </w:t>
      </w:r>
      <w:r/>
    </w:p>
    <w:p>
      <w:pPr>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（三）我单位不存在为采购项目提供整体设计、规范编制或者项目管理、监理、检测等服务后，再参加该采购项目的其他采购活动的情形（单一来源采购项目除外）；</w:t>
      </w:r>
      <w:r/>
    </w:p>
    <w:p>
      <w:pPr>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（四）与我单位存在“单位负责人为同一人或者存在直接控股、管理关系”的其他法人单位信息如下（如有，不论其是否参加同一合同项下的政府采购活动均须填写）：</w:t>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4520"/>
        <w:gridCol w:w="2872"/>
      </w:tblGrid>
      <w:tr>
        <w:trPr/>
        <w:tc>
          <w:tcPr>
            <w:tcW w:w="1224" w:type="dxa"/>
            <w:textDirection w:val="lrTb"/>
            <w:noWrap w:val="false"/>
          </w:tcPr>
          <w:p>
            <w:pPr>
              <w:jc w:val="center"/>
              <w:spacing w:line="33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4520" w:type="dxa"/>
            <w:textDirection w:val="lrTb"/>
            <w:noWrap w:val="false"/>
          </w:tcPr>
          <w:p>
            <w:pPr>
              <w:jc w:val="center"/>
              <w:spacing w:line="33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单位名称</w:t>
            </w:r>
            <w:r/>
          </w:p>
        </w:tc>
        <w:tc>
          <w:tcPr>
            <w:tcW w:w="2872" w:type="dxa"/>
            <w:textDirection w:val="lrTb"/>
            <w:noWrap w:val="false"/>
          </w:tcPr>
          <w:p>
            <w:pPr>
              <w:jc w:val="center"/>
              <w:spacing w:line="33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相互关系</w:t>
            </w:r>
            <w:r/>
          </w:p>
        </w:tc>
      </w:tr>
      <w:tr>
        <w:trPr/>
        <w:tc>
          <w:tcPr>
            <w:tcW w:w="1224" w:type="dxa"/>
            <w:textDirection w:val="lrTb"/>
            <w:noWrap w:val="false"/>
          </w:tcPr>
          <w:p>
            <w:pPr>
              <w:spacing w:line="33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520" w:type="dxa"/>
            <w:textDirection w:val="lrTb"/>
            <w:noWrap w:val="false"/>
          </w:tcPr>
          <w:p>
            <w:pPr>
              <w:spacing w:line="33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872" w:type="dxa"/>
            <w:textDirection w:val="lrTb"/>
            <w:noWrap w:val="false"/>
          </w:tcPr>
          <w:p>
            <w:pPr>
              <w:spacing w:line="33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c>
          <w:tcPr>
            <w:tcW w:w="1224" w:type="dxa"/>
            <w:textDirection w:val="lrTb"/>
            <w:noWrap w:val="false"/>
          </w:tcPr>
          <w:p>
            <w:pPr>
              <w:spacing w:line="33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520" w:type="dxa"/>
            <w:textDirection w:val="lrTb"/>
            <w:noWrap w:val="false"/>
          </w:tcPr>
          <w:p>
            <w:pPr>
              <w:spacing w:line="33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872" w:type="dxa"/>
            <w:textDirection w:val="lrTb"/>
            <w:noWrap w:val="false"/>
          </w:tcPr>
          <w:p>
            <w:pPr>
              <w:spacing w:line="33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上述声明真实有效，否则我方负全部责任。 </w:t>
      </w:r>
      <w:r/>
    </w:p>
    <w:p>
      <w:pPr>
        <w:ind w:firstLine="4819"/>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ind w:firstLine="4216"/>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说明：供应商承诺不实的，依据《中华人民共和国政府采购法》第七十七条“提供虚假材料谋取中标、成交的”有关规定予以处理。</w:t>
      </w:r>
      <w:r/>
    </w:p>
    <w:p>
      <w:pPr>
        <w:pStyle w:val="734"/>
        <w:ind w:firstLine="0"/>
        <w:rPr>
          <w:rFonts w:ascii="宋体" w:hAnsi="宋体" w:eastAsia="宋体" w:cs="宋体"/>
          <w:b/>
          <w:bCs/>
          <w:color w:val="auto"/>
          <w:sz w:val="24"/>
          <w:szCs w:val="24"/>
          <w:highlight w:val="none"/>
          <w:lang w:val="en-US" w:eastAsia="zh-CN"/>
        </w:rPr>
      </w:pPr>
      <w:r>
        <w:rPr>
          <w:rFonts w:ascii="宋体" w:hAnsi="宋体" w:eastAsia="宋体" w:cs="宋体"/>
          <w:b/>
          <w:bCs/>
          <w:color w:val="auto"/>
          <w:sz w:val="24"/>
          <w:szCs w:val="24"/>
          <w:highlight w:val="none"/>
          <w:lang w:val="en-US" w:eastAsia="zh-CN"/>
        </w:rPr>
      </w:r>
      <w:r/>
    </w:p>
    <w:p>
      <w:pPr>
        <w:pStyle w:val="735"/>
        <w:ind w:left="0" w:firstLine="0"/>
        <w:spacing w:line="332" w:lineRule="auto"/>
        <w:rPr>
          <w:rFonts w:ascii="宋体" w:hAnsi="宋体" w:cs="宋体"/>
          <w:color w:val="auto"/>
          <w:sz w:val="24"/>
          <w:highlight w:val="none"/>
        </w:rPr>
      </w:pPr>
      <w:r>
        <w:rPr>
          <w:rFonts w:ascii="宋体" w:hAnsi="宋体" w:cs="宋体"/>
          <w:color w:val="auto"/>
          <w:sz w:val="24"/>
          <w:highlight w:val="none"/>
        </w:rPr>
      </w:r>
      <w:r/>
    </w:p>
    <w:p>
      <w:pPr>
        <w:spacing w:line="332" w:lineRule="auto"/>
        <w:rPr>
          <w:rFonts w:ascii="宋体" w:hAnsi="宋体" w:eastAsia="宋体" w:cs="宋体"/>
          <w:color w:val="auto"/>
          <w:sz w:val="24"/>
          <w:highlight w:val="none"/>
        </w:rPr>
      </w:pPr>
      <w:r>
        <w:rPr>
          <w:color w:val="auto"/>
          <w:highlight w:val="none"/>
        </w:rPr>
        <w:br w:type="page" w:clear="all"/>
      </w:r>
      <w:r/>
    </w:p>
    <w:p>
      <w:pPr>
        <w:rPr>
          <w:rFonts w:hint="eastAsia" w:ascii="宋体" w:hAnsi="宋体" w:eastAsia="宋体" w:cs="宋体"/>
          <w:b/>
          <w:bCs/>
          <w:color w:val="auto"/>
          <w:sz w:val="24"/>
          <w:szCs w:val="24"/>
          <w:highlight w:val="none"/>
        </w:rPr>
        <w:outlineLvl w:val="1"/>
      </w:pPr>
      <w:r/>
      <w:bookmarkStart w:id="94" w:name="_Toc20576"/>
      <w:r>
        <w:rPr>
          <w:rFonts w:hint="eastAsia" w:ascii="宋体" w:hAnsi="宋体" w:eastAsia="宋体" w:cs="宋体"/>
          <w:b/>
          <w:bCs/>
          <w:color w:val="auto"/>
          <w:sz w:val="24"/>
          <w:szCs w:val="24"/>
          <w:highlight w:val="none"/>
        </w:rPr>
        <w:t xml:space="preserve">2 落实政府采购政策需满足的资格要求（如有）</w:t>
      </w:r>
      <w:bookmarkEnd w:id="94"/>
      <w:r>
        <w:rPr>
          <w:rFonts w:hint="eastAsia" w:ascii="宋体" w:hAnsi="宋体" w:eastAsia="宋体" w:cs="宋体"/>
          <w:b/>
          <w:bCs/>
          <w:color w:val="auto"/>
          <w:sz w:val="24"/>
          <w:szCs w:val="24"/>
          <w:highlight w:val="none"/>
        </w:rPr>
        <w:t xml:space="preserve">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中小企业证明文件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包）专门面向中小企业采购，响应文件中须提供《中小企业声明函》或《残疾人福利性单位声明函》，或提供由省级以上监狱管理局、戒毒管理局（含新疆生产建设兵团）出具的属于监狱企业的证明文件。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（4）中小企业声明函填写注意事项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1）《中小企业声明函》由参加政府采购活动的供应商出具。联合体参与的，《中小企业声明函》可由牵头人出具。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3）对于多标的采购项目，供应商应充分、准确地了解所提供货物的制造企业、提供服务的承接企业信息。对相关情况了解不清楚的，不建议填报本声明函。 </w:t>
      </w:r>
      <w:r/>
    </w:p>
    <w:p>
      <w:pPr>
        <w:ind w:firstLine="480"/>
        <w:keepLines w:val="0"/>
        <w:keepNext w:val="0"/>
        <w:pageBreakBefore w:val="0"/>
        <w:spacing w:line="520" w:lineRule="exact"/>
        <w:widowControl w:val="off"/>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前附表》，如在该程序中未找到本项目文件规定的中小企业划分标准所属行业，则按照《关于印发中小企业划型标准规定的通知（工信部联企业﹝2011﹞300 号）》及本项目文件规定的中小企业划分标准所属行业执行。</w:t>
      </w:r>
      <w:r/>
    </w:p>
    <w:p>
      <w:pPr>
        <w:spacing w:line="332" w:lineRule="auto"/>
        <w:rPr>
          <w:rFonts w:ascii="宋体" w:hAnsi="宋体" w:eastAsia="宋体" w:cs="宋体"/>
          <w:b/>
          <w:color w:val="auto"/>
          <w:sz w:val="24"/>
          <w:highlight w:val="none"/>
        </w:rPr>
      </w:pPr>
      <w:r>
        <w:rPr>
          <w:color w:val="auto"/>
          <w:highlight w:val="none"/>
        </w:rPr>
        <w:br w:type="page" w:clear="all"/>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 中小企业声明函及残疾人福利性单位声明函格式 </w:t>
      </w:r>
      <w:r/>
    </w:p>
    <w:p>
      <w:pPr>
        <w:jc w:val="center"/>
        <w:rPr>
          <w:rFonts w:hint="eastAsia" w:ascii="宋体" w:hAnsi="宋体" w:eastAsia="宋体" w:cs="宋体"/>
          <w:color w:val="auto"/>
          <w:sz w:val="32"/>
          <w:szCs w:val="40"/>
          <w:highlight w:val="none"/>
        </w:rPr>
      </w:pPr>
      <w:r>
        <w:rPr>
          <w:rFonts w:hint="eastAsia" w:ascii="宋体" w:hAnsi="宋体" w:eastAsia="宋体" w:cs="宋体"/>
          <w:color w:val="auto"/>
          <w:sz w:val="32"/>
          <w:szCs w:val="40"/>
          <w:highlight w:val="none"/>
        </w:rPr>
      </w:r>
      <w:r/>
    </w:p>
    <w:p>
      <w:pPr>
        <w:jc w:val="center"/>
        <w:rPr>
          <w:rFonts w:hint="eastAsia" w:ascii="宋体" w:hAnsi="宋体" w:eastAsia="宋体" w:cs="宋体"/>
          <w:color w:val="auto"/>
          <w:sz w:val="32"/>
          <w:szCs w:val="40"/>
          <w:highlight w:val="none"/>
        </w:rPr>
      </w:pPr>
      <w:r>
        <w:rPr>
          <w:rFonts w:hint="eastAsia" w:ascii="宋体" w:hAnsi="宋体" w:eastAsia="宋体" w:cs="宋体"/>
          <w:b/>
          <w:bCs/>
          <w:color w:val="auto"/>
          <w:sz w:val="32"/>
          <w:szCs w:val="40"/>
          <w:highlight w:val="none"/>
        </w:rPr>
        <w:t xml:space="preserve">中小企业声明函（服务）</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rPr>
        <w:t xml:space="preserve">（采购单位名称 ）       的（项目名称 ）        采购</w:t>
      </w:r>
      <w:r>
        <w:rPr>
          <w:rFonts w:hint="eastAsia" w:ascii="宋体" w:hAnsi="宋体" w:eastAsia="宋体" w:cs="宋体"/>
          <w:color w:val="auto"/>
          <w:sz w:val="24"/>
          <w:highlight w:val="none"/>
        </w:rPr>
        <w:t xml:space="preserve">活动，工程的施工全部为符合政策要求的中小企业（或者：服务全部由符合政策要求的中小企业承接）。相关企业（含联合体中的中小企业、签订分包意向协议的中小企业）的具体情况如下：</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w:t>
      </w:r>
      <w:r>
        <w:rPr>
          <w:rFonts w:hint="eastAsia" w:ascii="宋体" w:hAnsi="宋体" w:eastAsia="宋体" w:cs="宋体"/>
          <w:i/>
          <w:color w:val="auto"/>
          <w:sz w:val="24"/>
          <w:highlight w:val="none"/>
          <w:u w:val="single"/>
        </w:rPr>
        <w:t xml:space="preserve">（标的名称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w:t>
      </w:r>
      <w:r>
        <w:rPr>
          <w:rFonts w:hint="eastAsia" w:ascii="宋体" w:hAnsi="宋体" w:eastAsia="宋体" w:cs="宋体"/>
          <w:i/>
          <w:color w:val="auto"/>
          <w:sz w:val="24"/>
          <w:highlight w:val="none"/>
          <w:u w:val="single"/>
          <w:lang w:val="en-US" w:eastAsia="zh-CN"/>
        </w:rPr>
        <w:t xml:space="preserve">其他未列明行业 </w:t>
      </w:r>
      <w:r>
        <w:rPr>
          <w:rFonts w:hint="eastAsia" w:ascii="宋体" w:hAnsi="宋体" w:eastAsia="宋体" w:cs="宋体"/>
          <w:color w:val="auto"/>
          <w:sz w:val="24"/>
          <w:highlight w:val="none"/>
        </w:rPr>
        <w:t xml:space="preserve">；承建（承接）企业为</w:t>
      </w:r>
      <w:r>
        <w:rPr>
          <w:rFonts w:hint="eastAsia" w:ascii="宋体" w:hAnsi="宋体" w:eastAsia="宋体" w:cs="宋体"/>
          <w:i/>
          <w:color w:val="auto"/>
          <w:sz w:val="24"/>
          <w:highlight w:val="none"/>
          <w:u w:val="single"/>
        </w:rPr>
        <w:t xml:space="preserve">（ 企业名称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rPr>
          <w:rFonts w:hint="eastAsia" w:ascii="宋体" w:hAnsi="宋体" w:eastAsia="宋体" w:cs="宋体"/>
          <w:b/>
          <w:bCs/>
          <w:color w:val="auto"/>
          <w:sz w:val="24"/>
          <w:highlight w:val="none"/>
        </w:rPr>
        <w:t xml:space="preserve">¹</w:t>
      </w:r>
      <w:r>
        <w:rPr>
          <w:rFonts w:hint="eastAsia" w:ascii="宋体" w:hAnsi="宋体" w:eastAsia="宋体" w:cs="宋体"/>
          <w:color w:val="auto"/>
          <w:sz w:val="24"/>
          <w:highlight w:val="none"/>
        </w:rPr>
        <w:t xml:space="preserve">，属于 </w:t>
      </w:r>
      <w:r>
        <w:rPr>
          <w:rFonts w:hint="eastAsia" w:ascii="宋体" w:hAnsi="宋体" w:eastAsia="宋体" w:cs="宋体"/>
          <w:i/>
          <w:color w:val="auto"/>
          <w:sz w:val="24"/>
          <w:highlight w:val="none"/>
          <w:u w:val="single"/>
        </w:rPr>
        <w:t xml:space="preserve">（中型企业、小型企业 、微型企业）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i/>
          <w:color w:val="auto"/>
          <w:sz w:val="24"/>
          <w:highlight w:val="none"/>
          <w:u w:val="single"/>
        </w:rPr>
        <w:t xml:space="preserve">（标的名称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w:t>
      </w:r>
      <w:r>
        <w:rPr>
          <w:rFonts w:hint="eastAsia" w:ascii="宋体" w:hAnsi="宋体" w:eastAsia="宋体" w:cs="宋体"/>
          <w:i/>
          <w:color w:val="auto"/>
          <w:sz w:val="24"/>
          <w:highlight w:val="none"/>
          <w:u w:val="single"/>
          <w:lang w:val="en-US" w:eastAsia="zh-CN"/>
        </w:rPr>
        <w:t xml:space="preserve">其他未列明行业</w:t>
      </w:r>
      <w:r>
        <w:rPr>
          <w:rFonts w:hint="eastAsia" w:ascii="宋体" w:hAnsi="宋体" w:eastAsia="宋体" w:cs="宋体"/>
          <w:color w:val="auto"/>
          <w:sz w:val="24"/>
          <w:highlight w:val="none"/>
        </w:rPr>
        <w:t xml:space="preserve">；承建（承接）企业为</w:t>
      </w:r>
      <w:r>
        <w:rPr>
          <w:rFonts w:hint="eastAsia" w:ascii="宋体" w:hAnsi="宋体" w:eastAsia="宋体" w:cs="宋体"/>
          <w:i/>
          <w:color w:val="auto"/>
          <w:sz w:val="24"/>
          <w:highlight w:val="none"/>
          <w:u w:val="single"/>
        </w:rPr>
        <w:t xml:space="preserve">（ 企业名称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rPr>
          <w:rFonts w:hint="eastAsia" w:ascii="宋体" w:hAnsi="宋体" w:eastAsia="宋体" w:cs="宋体"/>
          <w:b/>
          <w:bCs/>
          <w:color w:val="auto"/>
          <w:sz w:val="24"/>
          <w:highlight w:val="none"/>
        </w:rPr>
        <w:t xml:space="preserve">¹</w:t>
      </w:r>
      <w:r>
        <w:rPr>
          <w:rFonts w:hint="eastAsia" w:ascii="宋体" w:hAnsi="宋体" w:eastAsia="宋体" w:cs="宋体"/>
          <w:color w:val="auto"/>
          <w:sz w:val="24"/>
          <w:highlight w:val="none"/>
        </w:rPr>
        <w:t xml:space="preserve">，属于 </w:t>
      </w:r>
      <w:r>
        <w:rPr>
          <w:rFonts w:hint="eastAsia" w:ascii="宋体" w:hAnsi="宋体" w:eastAsia="宋体" w:cs="宋体"/>
          <w:i/>
          <w:color w:val="auto"/>
          <w:sz w:val="24"/>
          <w:highlight w:val="none"/>
          <w:u w:val="single"/>
        </w:rPr>
        <w:t xml:space="preserve">（中型企业、小型企业 、微型企业）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2"/>
        <w:keepLines w:val="0"/>
        <w:keepNext w:val="0"/>
        <w:pageBreakBefore w:val="0"/>
        <w:spacing w:line="52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本企业对上述声明内容的真实性负责。如有虚假，将依法承担相应责任。 </w:t>
      </w:r>
      <w:r/>
    </w:p>
    <w:p>
      <w:pPr>
        <w:pStyle w:val="713"/>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ind w:firstLine="480"/>
        <w:spacing w:line="3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注：1.从业人员、营业收入、资产总额填报上一年度数据，无上一年度数据的新成立企业可不填报，视为小微企业。</w:t>
      </w:r>
      <w:r/>
    </w:p>
    <w:p>
      <w:pPr>
        <w:spacing w:line="332"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32"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ascii="黑体" w:hAnsi="黑体" w:eastAsia="黑体" w:cs="黑体"/>
          <w:color w:val="auto"/>
          <w:sz w:val="32"/>
          <w:szCs w:val="32"/>
          <w:highlight w:val="none"/>
        </w:rPr>
      </w:pPr>
      <w:r>
        <w:rPr>
          <w:color w:val="auto"/>
          <w:highlight w:val="none"/>
        </w:rPr>
        <w:br w:type="page" w:clear="all"/>
      </w:r>
      <w:r/>
    </w:p>
    <w:p>
      <w:pPr>
        <w:jc w:val="center"/>
        <w:rPr>
          <w:rFonts w:hint="eastAsia"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 xml:space="preserve">残疾人福利性单位声明函格式</w:t>
      </w:r>
      <w:r/>
    </w:p>
    <w:p>
      <w:pPr>
        <w:pStyle w:val="713"/>
        <w:ind w:firstLine="480"/>
        <w:keepLines w:val="0"/>
        <w:keepNext w:val="0"/>
        <w:pageBreakBefore w:val="0"/>
        <w:spacing w:line="520" w:lineRule="exact"/>
        <w:widowControl w:val="off"/>
        <w:rPr>
          <w:rFonts w:hAnsi="宋体" w:eastAsia="宋体" w:cs="宋体"/>
          <w:color w:val="auto"/>
          <w:sz w:val="24"/>
          <w:szCs w:val="24"/>
          <w:highlight w:val="none"/>
          <w:lang w:val="en-US"/>
        </w:rPr>
      </w:pPr>
      <w:r>
        <w:rPr>
          <w:rFonts w:hint="eastAsia"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w:t>
      </w:r>
      <w:r>
        <w:rPr>
          <w:rFonts w:hint="eastAsia" w:hAnsi="宋体" w:eastAsia="宋体" w:cs="宋体"/>
          <w:b/>
          <w:bCs/>
          <w:color w:val="auto"/>
          <w:sz w:val="24"/>
          <w:szCs w:val="24"/>
          <w:highlight w:val="none"/>
          <w:lang w:val="en-US"/>
        </w:rPr>
        <w:t xml:space="preserve">（请进行选择）</w:t>
      </w:r>
      <w:r>
        <w:rPr>
          <w:rFonts w:hint="eastAsia" w:hAnsi="宋体" w:eastAsia="宋体" w:cs="宋体"/>
          <w:color w:val="auto"/>
          <w:sz w:val="24"/>
          <w:szCs w:val="24"/>
          <w:highlight w:val="none"/>
          <w:lang w:val="en-US"/>
        </w:rPr>
        <w:t xml:space="preserve">：</w:t>
      </w:r>
      <w:r/>
    </w:p>
    <w:p>
      <w:pPr>
        <w:pStyle w:val="713"/>
        <w:ind w:firstLine="482"/>
        <w:keepLines w:val="0"/>
        <w:keepNext w:val="0"/>
        <w:pageBreakBefore w:val="0"/>
        <w:spacing w:line="520" w:lineRule="exact"/>
        <w:widowControl w:val="off"/>
        <w:rPr>
          <w:rFonts w:hAnsi="宋体" w:eastAsia="宋体" w:cs="宋体"/>
          <w:b/>
          <w:bCs/>
          <w:color w:val="auto"/>
          <w:sz w:val="24"/>
          <w:szCs w:val="24"/>
          <w:highlight w:val="none"/>
        </w:rPr>
      </w:pPr>
      <w:r>
        <w:rPr>
          <w:rFonts w:hint="eastAsia" w:hAnsi="宋体" w:eastAsia="宋体" w:cs="宋体"/>
          <w:b/>
          <w:bCs/>
          <w:color w:val="auto"/>
          <w:sz w:val="24"/>
          <w:szCs w:val="24"/>
          <w:highlight w:val="none"/>
          <w:lang w:val="en-US"/>
        </w:rPr>
        <w:t xml:space="preserve">□ 不属于符合条件的残疾人福利性单位。 </w:t>
      </w:r>
      <w:r/>
    </w:p>
    <w:p>
      <w:pPr>
        <w:pStyle w:val="713"/>
        <w:ind w:firstLine="482"/>
        <w:keepLines w:val="0"/>
        <w:keepNext w:val="0"/>
        <w:pageBreakBefore w:val="0"/>
        <w:spacing w:line="520" w:lineRule="exact"/>
        <w:widowControl w:val="off"/>
        <w:rPr>
          <w:rFonts w:hAnsi="宋体" w:eastAsia="宋体" w:cs="宋体"/>
          <w:color w:val="auto"/>
          <w:sz w:val="24"/>
          <w:szCs w:val="24"/>
          <w:highlight w:val="none"/>
        </w:rPr>
      </w:pPr>
      <w:r>
        <w:rPr>
          <w:rFonts w:hint="eastAsia" w:hAnsi="宋体" w:eastAsia="宋体" w:cs="宋体"/>
          <w:b/>
          <w:bCs/>
          <w:color w:val="auto"/>
          <w:sz w:val="24"/>
          <w:szCs w:val="24"/>
          <w:highlight w:val="none"/>
          <w:lang w:val="en-US"/>
        </w:rPr>
        <w:t xml:space="preserve">□ 属于符合条件的残疾人福利性单位</w:t>
      </w:r>
      <w:r>
        <w:rPr>
          <w:rFonts w:hint="eastAsia" w:hAnsi="宋体" w:eastAsia="宋体" w:cs="宋体"/>
          <w:color w:val="auto"/>
          <w:sz w:val="24"/>
          <w:szCs w:val="24"/>
          <w:highlight w:val="none"/>
          <w:lang w:val="en-US"/>
        </w:rPr>
        <w:t xml:space="preserve">，且本单位参加</w:t>
      </w:r>
      <w:r>
        <w:rPr>
          <w:rFonts w:hint="eastAsia" w:hAnsi="宋体" w:eastAsia="宋体" w:cs="宋体"/>
          <w:color w:val="auto"/>
          <w:sz w:val="24"/>
          <w:szCs w:val="24"/>
          <w:highlight w:val="none"/>
          <w:u w:val="single"/>
          <w:lang w:val="en-US"/>
        </w:rPr>
        <w:t xml:space="preserve">      </w:t>
      </w:r>
      <w:r>
        <w:rPr>
          <w:rFonts w:hint="eastAsia" w:hAnsi="宋体" w:eastAsia="宋体" w:cs="宋体"/>
          <w:color w:val="auto"/>
          <w:sz w:val="24"/>
          <w:szCs w:val="24"/>
          <w:highlight w:val="none"/>
          <w:lang w:val="en-US"/>
        </w:rPr>
        <w:t xml:space="preserve">单位的</w:t>
      </w:r>
      <w:r>
        <w:rPr>
          <w:rFonts w:hint="eastAsia" w:hAnsi="宋体" w:eastAsia="宋体" w:cs="宋体"/>
          <w:color w:val="auto"/>
          <w:sz w:val="24"/>
          <w:szCs w:val="24"/>
          <w:highlight w:val="none"/>
          <w:u w:val="single"/>
          <w:lang w:val="en-US"/>
        </w:rPr>
        <w:t xml:space="preserve">     </w:t>
      </w:r>
      <w:r>
        <w:rPr>
          <w:rFonts w:hint="eastAsia" w:hAnsi="宋体" w:eastAsia="宋体" w:cs="宋体"/>
          <w:color w:val="auto"/>
          <w:sz w:val="24"/>
          <w:szCs w:val="24"/>
          <w:highlight w:val="none"/>
          <w:lang w:val="en-US"/>
        </w:rPr>
        <w:t xml:space="preserve">项目采购活动提供本单位制造的货物（由本单位承担工程/提供服务），或者提供其他残疾人福利性单位制造的货物（不包括使用非残疾人福利性单位注册商标的货物）。 </w:t>
      </w:r>
      <w:r/>
    </w:p>
    <w:p>
      <w:pPr>
        <w:pStyle w:val="713"/>
        <w:ind w:firstLine="482"/>
        <w:keepLines w:val="0"/>
        <w:keepNext w:val="0"/>
        <w:pageBreakBefore w:val="0"/>
        <w:spacing w:line="520" w:lineRule="exact"/>
        <w:widowControl w:val="off"/>
        <w:rPr>
          <w:rFonts w:hAnsi="宋体" w:eastAsia="宋体" w:cs="宋体"/>
          <w:color w:val="auto"/>
          <w:sz w:val="24"/>
          <w:szCs w:val="24"/>
          <w:highlight w:val="none"/>
        </w:rPr>
      </w:pPr>
      <w:r>
        <w:rPr>
          <w:rFonts w:hint="eastAsia" w:hAnsi="宋体" w:eastAsia="宋体" w:cs="宋体"/>
          <w:b/>
          <w:bCs/>
          <w:color w:val="auto"/>
          <w:sz w:val="24"/>
          <w:szCs w:val="24"/>
          <w:highlight w:val="none"/>
          <w:lang w:val="en-US"/>
        </w:rPr>
        <w:t xml:space="preserve">本单位对上述声明的真实性负责。如有虚假，将依法承担相应责任。</w:t>
      </w:r>
      <w:r>
        <w:rPr>
          <w:rFonts w:hint="eastAsia" w:hAnsi="宋体" w:eastAsia="宋体" w:cs="宋体"/>
          <w:color w:val="auto"/>
          <w:sz w:val="24"/>
          <w:szCs w:val="24"/>
          <w:highlight w:val="none"/>
          <w:lang w:val="en-US"/>
        </w:rPr>
        <w:t xml:space="preserve"> </w:t>
      </w:r>
      <w:r/>
    </w:p>
    <w:p>
      <w:pPr>
        <w:pStyle w:val="713"/>
        <w:keepLines w:val="0"/>
        <w:keepNext w:val="0"/>
        <w:pageBreakBefore w:val="0"/>
        <w:spacing w:line="520" w:lineRule="exact"/>
        <w:widowControl w:val="off"/>
        <w:rPr>
          <w:rFonts w:hAnsi="宋体" w:eastAsia="宋体" w:cs="宋体"/>
          <w:color w:val="auto"/>
          <w:sz w:val="24"/>
          <w:szCs w:val="24"/>
          <w:highlight w:val="none"/>
        </w:rPr>
      </w:pPr>
      <w:r>
        <w:rPr>
          <w:rFonts w:hAnsi="宋体" w:eastAsia="宋体" w:cs="宋体"/>
          <w:color w:val="auto"/>
          <w:sz w:val="24"/>
          <w:szCs w:val="24"/>
          <w:highlight w:val="none"/>
        </w:rPr>
      </w:r>
      <w:r/>
    </w:p>
    <w:p>
      <w:pPr>
        <w:pStyle w:val="713"/>
        <w:keepLines w:val="0"/>
        <w:keepNext w:val="0"/>
        <w:pageBreakBefore w:val="0"/>
        <w:spacing w:line="520" w:lineRule="exact"/>
        <w:widowControl w:val="off"/>
        <w:rPr>
          <w:rFonts w:hAnsi="宋体" w:eastAsia="宋体" w:cs="宋体"/>
          <w:color w:val="auto"/>
          <w:sz w:val="24"/>
          <w:szCs w:val="24"/>
          <w:highlight w:val="none"/>
        </w:rPr>
      </w:pPr>
      <w:r>
        <w:rPr>
          <w:rFonts w:hAnsi="宋体" w:eastAsia="宋体" w:cs="宋体"/>
          <w:color w:val="auto"/>
          <w:sz w:val="24"/>
          <w:szCs w:val="24"/>
          <w:highlight w:val="none"/>
        </w:rPr>
      </w:r>
      <w:r/>
    </w:p>
    <w:p>
      <w:pPr>
        <w:keepLines w:val="0"/>
        <w:keepNext w:val="0"/>
        <w:pageBreakBefore w:val="0"/>
        <w:spacing w:line="52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2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pStyle w:val="713"/>
        <w:ind w:firstLine="480"/>
        <w:spacing w:before="28" w:after="28" w:line="332" w:lineRule="auto"/>
        <w:rPr>
          <w:rFonts w:hAnsi="宋体" w:eastAsia="宋体" w:cs="宋体"/>
          <w:color w:val="auto"/>
          <w:sz w:val="24"/>
          <w:szCs w:val="24"/>
          <w:highlight w:val="none"/>
        </w:rPr>
      </w:pPr>
      <w:r>
        <w:rPr>
          <w:rFonts w:hAnsi="宋体" w:eastAsia="宋体" w:cs="宋体"/>
          <w:color w:val="auto"/>
          <w:sz w:val="24"/>
          <w:szCs w:val="24"/>
          <w:highlight w:val="none"/>
        </w:rPr>
      </w:r>
      <w:r/>
    </w:p>
    <w:p>
      <w:pPr>
        <w:spacing w:line="332"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32"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32" w:lineRule="auto"/>
        <w:rPr>
          <w:rFonts w:ascii="宋体" w:hAnsi="宋体" w:eastAsia="宋体" w:cs="宋体"/>
          <w:color w:val="auto"/>
          <w:sz w:val="24"/>
          <w:highlight w:val="none"/>
        </w:rPr>
      </w:pPr>
      <w:r>
        <w:rPr>
          <w:color w:val="auto"/>
          <w:highlight w:val="none"/>
        </w:rPr>
        <w:br w:type="page" w:clear="all"/>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2-2 其他落实政府采购政策的资格要求（如有）</w:t>
      </w:r>
      <w:r/>
    </w:p>
    <w:p>
      <w:pPr>
        <w:spacing w:line="332"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735"/>
        <w:spacing w:line="332" w:lineRule="auto"/>
        <w:rPr>
          <w:rFonts w:ascii="宋体" w:hAnsi="宋体" w:cs="宋体"/>
          <w:color w:val="auto"/>
          <w:sz w:val="24"/>
          <w:highlight w:val="none"/>
        </w:rPr>
      </w:pPr>
      <w:r>
        <w:rPr>
          <w:rFonts w:ascii="宋体" w:hAnsi="宋体" w:cs="宋体"/>
          <w:color w:val="auto"/>
          <w:sz w:val="24"/>
          <w:highlight w:val="none"/>
        </w:rPr>
      </w:r>
      <w:r/>
    </w:p>
    <w:p>
      <w:pPr>
        <w:spacing w:line="332" w:lineRule="auto"/>
        <w:rPr>
          <w:rFonts w:ascii="宋体" w:hAnsi="宋体" w:eastAsia="宋体" w:cs="宋体"/>
          <w:color w:val="auto"/>
          <w:sz w:val="24"/>
          <w:highlight w:val="none"/>
        </w:rPr>
      </w:pPr>
      <w:r>
        <w:rPr>
          <w:color w:val="auto"/>
          <w:highlight w:val="none"/>
        </w:rPr>
        <w:br w:type="page" w:clear="all"/>
      </w:r>
      <w:r/>
    </w:p>
    <w:p>
      <w:pPr>
        <w:rPr>
          <w:rFonts w:hint="eastAsia" w:ascii="宋体" w:hAnsi="宋体" w:eastAsia="宋体" w:cs="宋体"/>
          <w:b/>
          <w:bCs/>
          <w:color w:val="auto"/>
          <w:sz w:val="26"/>
          <w:szCs w:val="26"/>
          <w:highlight w:val="none"/>
        </w:rPr>
        <w:outlineLvl w:val="1"/>
      </w:pPr>
      <w:r/>
      <w:bookmarkStart w:id="95" w:name="_Toc7264"/>
      <w:r>
        <w:rPr>
          <w:rFonts w:hint="eastAsia" w:ascii="宋体" w:hAnsi="宋体" w:eastAsia="宋体" w:cs="宋体"/>
          <w:b/>
          <w:bCs/>
          <w:color w:val="auto"/>
          <w:sz w:val="26"/>
          <w:szCs w:val="26"/>
          <w:highlight w:val="none"/>
        </w:rPr>
        <w:t xml:space="preserve">3 本项目的特定资格要求（如有）</w:t>
      </w:r>
      <w:bookmarkEnd w:id="95"/>
      <w:r>
        <w:rPr>
          <w:rFonts w:hint="eastAsia" w:ascii="宋体" w:hAnsi="宋体" w:eastAsia="宋体" w:cs="宋体"/>
          <w:b/>
          <w:bCs/>
          <w:color w:val="auto"/>
          <w:sz w:val="26"/>
          <w:szCs w:val="26"/>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ascii="楷体" w:hAnsi="楷体" w:eastAsia="楷体" w:cs="楷体"/>
          <w:color w:val="auto"/>
          <w:sz w:val="24"/>
          <w:highlight w:val="none"/>
        </w:rPr>
      </w:pPr>
      <w:r>
        <w:rPr>
          <w:rFonts w:hint="eastAsia" w:ascii="宋体" w:hAnsi="宋体" w:eastAsia="宋体" w:cs="宋体"/>
          <w:color w:val="auto"/>
          <w:sz w:val="24"/>
          <w:highlight w:val="none"/>
        </w:rPr>
        <w:t xml:space="preserve">详见公告，按要求提供</w:t>
      </w:r>
      <w:r>
        <w:rPr>
          <w:color w:val="auto"/>
          <w:highlight w:val="none"/>
        </w:rPr>
        <w:br w:type="page" w:clear="all"/>
      </w:r>
      <w:r/>
    </w:p>
    <w:p>
      <w:pPr>
        <w:rPr>
          <w:rFonts w:hint="eastAsia" w:ascii="宋体" w:hAnsi="宋体" w:eastAsia="宋体" w:cs="宋体"/>
          <w:b/>
          <w:bCs/>
          <w:color w:val="auto"/>
          <w:sz w:val="26"/>
          <w:szCs w:val="26"/>
          <w:highlight w:val="none"/>
        </w:rPr>
        <w:outlineLvl w:val="1"/>
      </w:pPr>
      <w:r/>
      <w:bookmarkStart w:id="96" w:name="_Toc28520"/>
      <w:r>
        <w:rPr>
          <w:rFonts w:hint="eastAsia" w:ascii="宋体" w:hAnsi="宋体" w:eastAsia="宋体" w:cs="宋体"/>
          <w:b/>
          <w:bCs/>
          <w:color w:val="auto"/>
          <w:sz w:val="26"/>
          <w:szCs w:val="26"/>
          <w:highlight w:val="none"/>
        </w:rPr>
        <w:t xml:space="preserve">4 响应书（实质性格式）</w:t>
      </w:r>
      <w:bookmarkEnd w:id="96"/>
      <w:r>
        <w:rPr>
          <w:rFonts w:hint="eastAsia" w:ascii="宋体" w:hAnsi="宋体" w:eastAsia="宋体" w:cs="宋体"/>
          <w:b/>
          <w:bCs/>
          <w:color w:val="auto"/>
          <w:sz w:val="26"/>
          <w:szCs w:val="26"/>
          <w:highlight w:val="none"/>
        </w:rPr>
        <w:t xml:space="preserve"> </w:t>
      </w:r>
      <w:r/>
    </w:p>
    <w:p>
      <w:pPr>
        <w:jc w:val="center"/>
        <w:spacing w:line="33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响应书</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（采购人或采购代理机构）</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我方参加你方就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（项目名称，项目编号/包号）组织的采购活动，并对此项目进行磋商。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我方已详细审查全部竞争性磋商文件，自愿参与磋商并承诺如下：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（1）本响应有效期为自响应文件提交截止之日起</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 xml:space="preserve">个日历天。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（2）除合同条款及采购需求偏离表列出的偏离外，我方响应竞争性磋商文件的全部要求。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（3）我方已提供的全部文件资料是真实、准确的，并对此承担一切法律后果。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（4）如我方成交，我方将在法律规定的期限内与你方签订合同，按照竞争性磋商文件要求提交履约保证金，并在合同约定的期限内完成合同规定的全部义务。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其他补充条款（如有）：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与本磋商有关的一切正式往来信函请寄：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电子函件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735"/>
        <w:ind w:left="0" w:firstLine="480"/>
        <w:keepLines w:val="0"/>
        <w:keepNext w:val="0"/>
        <w:pageBreakBefore w:val="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735"/>
        <w:spacing w:line="332" w:lineRule="auto"/>
        <w:rPr>
          <w:rFonts w:ascii="宋体" w:hAnsi="宋体" w:cs="宋体"/>
          <w:color w:val="auto"/>
          <w:sz w:val="24"/>
          <w:highlight w:val="none"/>
        </w:rPr>
      </w:pPr>
      <w:r>
        <w:rPr>
          <w:rFonts w:ascii="宋体" w:hAnsi="宋体" w:cs="宋体"/>
          <w:color w:val="auto"/>
          <w:sz w:val="24"/>
          <w:highlight w:val="none"/>
        </w:rPr>
      </w:r>
      <w:r/>
    </w:p>
    <w:p>
      <w:pPr>
        <w:spacing w:line="332" w:lineRule="auto"/>
        <w:rPr>
          <w:rFonts w:ascii="宋体" w:hAnsi="宋体" w:eastAsia="宋体" w:cs="宋体"/>
          <w:color w:val="auto"/>
          <w:sz w:val="24"/>
          <w:highlight w:val="none"/>
        </w:rPr>
      </w:pPr>
      <w:r>
        <w:rPr>
          <w:color w:val="auto"/>
          <w:highlight w:val="none"/>
        </w:rPr>
        <w:br w:type="page" w:clear="all"/>
      </w:r>
      <w:r/>
    </w:p>
    <w:p>
      <w:pPr>
        <w:jc w:val="left"/>
        <w:spacing w:line="332" w:lineRule="auto"/>
        <w:widowControl/>
        <w:rPr>
          <w:rFonts w:hint="eastAsia" w:ascii="宋体" w:hAnsi="宋体" w:eastAsia="宋体" w:cs="宋体"/>
          <w:color w:val="auto"/>
          <w:sz w:val="24"/>
          <w:highlight w:val="none"/>
        </w:rPr>
        <w:outlineLvl w:val="1"/>
      </w:pPr>
      <w:r/>
      <w:bookmarkStart w:id="97" w:name="_Toc875"/>
      <w:r>
        <w:rPr>
          <w:rFonts w:hint="eastAsia" w:ascii="宋体" w:hAnsi="宋体" w:eastAsia="宋体" w:cs="宋体"/>
          <w:b/>
          <w:bCs/>
          <w:color w:val="auto"/>
          <w:sz w:val="26"/>
          <w:szCs w:val="26"/>
          <w:highlight w:val="none"/>
        </w:rPr>
        <w:t xml:space="preserve">5 授权委托书（实质性格式）</w:t>
      </w:r>
      <w:bookmarkEnd w:id="97"/>
      <w:r>
        <w:rPr>
          <w:rFonts w:hint="eastAsia" w:ascii="宋体" w:hAnsi="宋体" w:eastAsia="宋体" w:cs="宋体"/>
          <w:color w:val="auto"/>
          <w:sz w:val="24"/>
          <w:highlight w:val="none"/>
        </w:rPr>
        <w:t xml:space="preserve"> </w:t>
      </w:r>
      <w:r/>
    </w:p>
    <w:p>
      <w:pPr>
        <w:jc w:val="center"/>
        <w:rPr>
          <w:rFonts w:hint="eastAsia" w:ascii="宋体" w:hAnsi="宋体" w:eastAsia="宋体" w:cs="宋体"/>
          <w:color w:val="auto"/>
          <w:sz w:val="32"/>
          <w:szCs w:val="40"/>
          <w:highlight w:val="none"/>
        </w:rPr>
      </w:pPr>
      <w:r>
        <w:rPr>
          <w:rFonts w:hint="eastAsia" w:ascii="宋体" w:hAnsi="宋体" w:eastAsia="宋体" w:cs="宋体"/>
          <w:color w:val="auto"/>
          <w:sz w:val="32"/>
          <w:szCs w:val="40"/>
          <w:highlight w:val="none"/>
        </w:rPr>
        <w:t xml:space="preserve">授权委托书</w:t>
      </w:r>
      <w:r/>
    </w:p>
    <w:p>
      <w:pPr>
        <w:ind w:firstLine="480"/>
        <w:jc w:val="left"/>
        <w:keepLines w:val="0"/>
        <w:keepNext w:val="0"/>
        <w:pageBreakBefore w:val="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（供应商名称）的法定代表人（单位负责人），现委托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（姓名）为我方代理人。代理人根据授权，以我方名义签署、澄清确认、提交、撤回、修改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（项目名称）响应文件和处理有关事宜，其法律后果由我方承担。 </w:t>
      </w:r>
      <w:r/>
    </w:p>
    <w:p>
      <w:pPr>
        <w:ind w:firstLine="480"/>
        <w:jc w:val="left"/>
        <w:keepLines w:val="0"/>
        <w:keepNext w:val="0"/>
        <w:pageBreakBefore w:val="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委托期限：自本授权委托书签署之日起至响应有效期届满之日止。 </w:t>
      </w:r>
      <w:r/>
    </w:p>
    <w:p>
      <w:pPr>
        <w:ind w:firstLine="480"/>
        <w:jc w:val="left"/>
        <w:keepLines w:val="0"/>
        <w:keepNext w:val="0"/>
        <w:pageBreakBefore w:val="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w:t>
      </w:r>
      <w:r/>
    </w:p>
    <w:p>
      <w:pPr>
        <w:jc w:val="left"/>
        <w:keepLines w:val="0"/>
        <w:keepNext w:val="0"/>
        <w:pageBreakBefore w:val="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left"/>
        <w:keepLines w:val="0"/>
        <w:keepNext w:val="0"/>
        <w:pageBreakBefore w:val="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法定代表人（单位负责人）（签字或签章）：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left"/>
        <w:keepLines w:val="0"/>
        <w:keepNext w:val="0"/>
        <w:pageBreakBefore w:val="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keepLines w:val="0"/>
        <w:keepNext w:val="0"/>
        <w:pageBreakBefore w:val="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附：法定代表人及委托代理人身份证明文件 </w:t>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8"/>
        <w:gridCol w:w="4308"/>
      </w:tblGrid>
      <w:tr>
        <w:trPr>
          <w:trHeight w:val="2641"/>
        </w:trPr>
        <w:tc>
          <w:tcPr>
            <w:tcW w:w="4308" w:type="dxa"/>
            <w:vAlign w:val="center"/>
            <w:textDirection w:val="lrTb"/>
            <w:noWrap w:val="false"/>
          </w:tcPr>
          <w:p>
            <w:pPr>
              <w:jc w:val="center"/>
              <w:spacing w:line="3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法定代表人身份证国徽面</w:t>
            </w:r>
            <w:r/>
          </w:p>
        </w:tc>
        <w:tc>
          <w:tcPr>
            <w:tcW w:w="4308" w:type="dxa"/>
            <w:vAlign w:val="center"/>
            <w:textDirection w:val="lrTb"/>
            <w:noWrap w:val="false"/>
          </w:tcPr>
          <w:p>
            <w:pPr>
              <w:jc w:val="center"/>
              <w:spacing w:line="3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法定代表人身份证头像面</w:t>
            </w:r>
            <w:r/>
          </w:p>
        </w:tc>
      </w:tr>
      <w:tr>
        <w:trPr>
          <w:trHeight w:val="2345"/>
        </w:trPr>
        <w:tc>
          <w:tcPr>
            <w:tcW w:w="4308" w:type="dxa"/>
            <w:vAlign w:val="center"/>
            <w:textDirection w:val="lrTb"/>
            <w:noWrap w:val="false"/>
          </w:tcPr>
          <w:p>
            <w:pPr>
              <w:jc w:val="center"/>
              <w:spacing w:line="3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委托代理人身份证国徽面</w:t>
            </w:r>
            <w:r/>
          </w:p>
        </w:tc>
        <w:tc>
          <w:tcPr>
            <w:tcW w:w="4308" w:type="dxa"/>
            <w:vAlign w:val="center"/>
            <w:textDirection w:val="lrTb"/>
            <w:noWrap w:val="false"/>
          </w:tcPr>
          <w:p>
            <w:pPr>
              <w:jc w:val="center"/>
              <w:spacing w:line="3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委托代理人身份证头像面</w:t>
            </w:r>
            <w:r/>
          </w:p>
        </w:tc>
      </w:tr>
    </w:tbl>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注：（1）若供应商为事业单位或其他组织或分支机构，则法定代表人（单位负责人）处的签署人可为单位负责人。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响应文件中签字之处均为法定代表人（单位负责人）本人签署，则可不提供本《授权委托书》，但须提供《法定代表人（单位负责人）身份证明》；否则，不需要提供《法定代表人（单位负责人）身份证明》。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（4）供应商应随本《授权委托书》同时提供法定代表人（单位负责人）及委托代理人的有效的身份证、护照等身份证明文件复印件。提供身份证的，应同时提供身份证双面复印件。</w:t>
      </w:r>
      <w:r/>
    </w:p>
    <w:p>
      <w:pPr>
        <w:rPr>
          <w:rFonts w:ascii="黑体" w:hAnsi="黑体" w:eastAsia="黑体" w:cs="黑体"/>
          <w:color w:val="auto"/>
          <w:sz w:val="28"/>
          <w:szCs w:val="28"/>
          <w:highlight w:val="none"/>
        </w:rPr>
      </w:pPr>
      <w:r>
        <w:rPr>
          <w:color w:val="auto"/>
          <w:highlight w:val="none"/>
        </w:rPr>
        <w:br w:type="page" w:clear="all"/>
      </w:r>
      <w:r/>
    </w:p>
    <w:p>
      <w:pPr>
        <w:jc w:val="center"/>
        <w:spacing w:line="360" w:lineRule="auto"/>
        <w:rPr>
          <w:rFonts w:ascii="黑体" w:hAnsi="黑体" w:eastAsia="黑体" w:cs="黑体"/>
          <w:color w:val="auto"/>
          <w:sz w:val="32"/>
          <w:szCs w:val="40"/>
          <w:highlight w:val="none"/>
        </w:rPr>
      </w:pPr>
      <w:r>
        <w:rPr>
          <w:rFonts w:hint="eastAsia" w:ascii="黑体" w:hAnsi="黑体" w:eastAsia="黑体" w:cs="黑体"/>
          <w:color w:val="auto"/>
          <w:sz w:val="32"/>
          <w:szCs w:val="40"/>
          <w:highlight w:val="none"/>
        </w:rPr>
        <w:t xml:space="preserve">法定代表人（单位负责人）身份证明</w:t>
      </w:r>
      <w:r/>
    </w:p>
    <w:p>
      <w:pPr>
        <w:jc w:val="both"/>
        <w:keepLines w:val="0"/>
        <w:keepNext w:val="0"/>
        <w:pageBreakBefore w:val="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（采购人或采购代理机构）</w:t>
      </w:r>
      <w:r>
        <w:rPr>
          <w:rFonts w:hint="eastAsia" w:ascii="宋体" w:hAnsi="宋体" w:eastAsia="宋体" w:cs="宋体"/>
          <w:color w:val="auto"/>
          <w:sz w:val="24"/>
          <w:highlight w:val="none"/>
        </w:rPr>
        <w:t xml:space="preserve"> </w:t>
      </w:r>
      <w:r/>
    </w:p>
    <w:p>
      <w:pPr>
        <w:ind w:firstLine="480"/>
        <w:jc w:val="both"/>
        <w:keepLines w:val="0"/>
        <w:keepNext w:val="0"/>
        <w:pageBreakBefore w:val="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兹证明， </w:t>
      </w:r>
      <w:r/>
    </w:p>
    <w:p>
      <w:pPr>
        <w:ind w:firstLine="480"/>
        <w:jc w:val="both"/>
        <w:keepLines w:val="0"/>
        <w:keepNext w:val="0"/>
        <w:pageBreakBefore w:val="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jc w:val="both"/>
        <w:keepLines w:val="0"/>
        <w:keepNext w:val="0"/>
        <w:pageBreakBefore w:val="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（供应商名称）的法定代表人（单位负责人）。 </w:t>
      </w:r>
      <w:r/>
    </w:p>
    <w:p>
      <w:pPr>
        <w:ind w:firstLine="480"/>
        <w:jc w:val="both"/>
        <w:keepLines w:val="0"/>
        <w:keepNext w:val="0"/>
        <w:pageBreakBefore w:val="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附：法定代表人（单位负责人）身份证、护照等身份证明文件复印件：</w:t>
      </w:r>
      <w:r/>
    </w:p>
    <w:p>
      <w:pPr>
        <w:pStyle w:val="735"/>
        <w:spacing w:line="332" w:lineRule="auto"/>
        <w:rPr>
          <w:rFonts w:ascii="宋体" w:hAnsi="宋体" w:cs="宋体"/>
          <w:color w:val="auto"/>
          <w:sz w:val="24"/>
          <w:highlight w:val="none"/>
        </w:rPr>
      </w:pPr>
      <w:r>
        <w:rPr>
          <w:rFonts w:ascii="宋体" w:hAnsi="宋体" w:cs="宋体"/>
          <w:color w:val="auto"/>
          <w:sz w:val="24"/>
          <w:highlight w:val="none"/>
        </w:rPr>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8"/>
        <w:gridCol w:w="4308"/>
      </w:tblGrid>
      <w:tr>
        <w:trPr>
          <w:trHeight w:val="2641"/>
        </w:trPr>
        <w:tc>
          <w:tcPr>
            <w:tcW w:w="4308" w:type="dxa"/>
            <w:vAlign w:val="center"/>
            <w:textDirection w:val="lrTb"/>
            <w:noWrap w:val="false"/>
          </w:tcPr>
          <w:p>
            <w:pPr>
              <w:jc w:val="center"/>
              <w:spacing w:line="332"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法定代表人身份证国徽面</w:t>
            </w:r>
            <w:r/>
          </w:p>
        </w:tc>
        <w:tc>
          <w:tcPr>
            <w:tcW w:w="4308" w:type="dxa"/>
            <w:vAlign w:val="center"/>
            <w:textDirection w:val="lrTb"/>
            <w:noWrap w:val="false"/>
          </w:tcPr>
          <w:p>
            <w:pPr>
              <w:jc w:val="center"/>
              <w:spacing w:line="332"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法定代表人身份证头像面</w:t>
            </w:r>
            <w:r/>
          </w:p>
        </w:tc>
      </w:tr>
    </w:tbl>
    <w:p>
      <w:pPr>
        <w:pStyle w:val="735"/>
        <w:spacing w:line="332" w:lineRule="auto"/>
        <w:rPr>
          <w:rFonts w:ascii="宋体" w:hAnsi="宋体" w:cs="宋体"/>
          <w:color w:val="auto"/>
          <w:sz w:val="24"/>
          <w:highlight w:val="none"/>
        </w:rPr>
      </w:pPr>
      <w:r>
        <w:rPr>
          <w:rFonts w:ascii="宋体" w:hAnsi="宋体" w:cs="宋体"/>
          <w:color w:val="auto"/>
          <w:sz w:val="24"/>
          <w:highlight w:val="none"/>
        </w:rPr>
      </w:r>
      <w:r/>
    </w:p>
    <w:p>
      <w:pPr>
        <w:jc w:val="left"/>
        <w:keepLines w:val="0"/>
        <w:keepNext w:val="0"/>
        <w:pageBreakBefore w:val="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供应商名称（盖章）：</w:t>
      </w:r>
      <w:r>
        <w:rPr>
          <w:rFonts w:hint="eastAsia" w:ascii="宋体" w:hAnsi="宋体" w:eastAsia="宋体" w:cs="宋体"/>
          <w:color w:val="auto"/>
          <w:sz w:val="24"/>
          <w:highlight w:val="none"/>
          <w:u w:val="single"/>
        </w:rPr>
        <w:t xml:space="preserve">          </w:t>
      </w:r>
      <w:r/>
    </w:p>
    <w:p>
      <w:pPr>
        <w:jc w:val="left"/>
        <w:keepLines w:val="0"/>
        <w:keepNext w:val="0"/>
        <w:pageBreakBefore w:val="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法定代表人（单位负责人）（签字或签章）：</w:t>
      </w:r>
      <w:r>
        <w:rPr>
          <w:rFonts w:hint="eastAsia" w:ascii="宋体" w:hAnsi="宋体" w:eastAsia="宋体" w:cs="宋体"/>
          <w:color w:val="auto"/>
          <w:sz w:val="24"/>
          <w:highlight w:val="none"/>
          <w:u w:val="single"/>
        </w:rPr>
        <w:t xml:space="preserve">         </w:t>
      </w:r>
      <w:r/>
    </w:p>
    <w:p>
      <w:pPr>
        <w:pStyle w:val="735"/>
        <w:ind w:left="0" w:firstLine="0"/>
        <w:keepLines w:val="0"/>
        <w:keepNext w:val="0"/>
        <w:pageBreakBefore w:val="0"/>
        <w:spacing w:after="0" w:line="520" w:lineRule="exact"/>
        <w:rPr>
          <w:rFonts w:ascii="宋体"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735"/>
        <w:spacing w:line="332" w:lineRule="auto"/>
        <w:rPr>
          <w:rFonts w:ascii="宋体" w:hAnsi="宋体" w:cs="宋体"/>
          <w:color w:val="auto"/>
          <w:sz w:val="24"/>
          <w:highlight w:val="none"/>
        </w:rPr>
      </w:pPr>
      <w:r>
        <w:rPr>
          <w:rFonts w:ascii="宋体" w:hAnsi="宋体" w:cs="宋体"/>
          <w:color w:val="auto"/>
          <w:sz w:val="24"/>
          <w:highlight w:val="none"/>
        </w:rPr>
      </w:r>
      <w:r/>
    </w:p>
    <w:p>
      <w:pPr>
        <w:spacing w:line="332" w:lineRule="auto"/>
        <w:rPr>
          <w:rFonts w:ascii="宋体" w:hAnsi="宋体" w:eastAsia="宋体" w:cs="宋体"/>
          <w:color w:val="auto"/>
          <w:sz w:val="24"/>
          <w:highlight w:val="none"/>
        </w:rPr>
      </w:pPr>
      <w:r>
        <w:rPr>
          <w:color w:val="auto"/>
          <w:highlight w:val="none"/>
        </w:rPr>
        <w:br w:type="page" w:clear="all"/>
      </w:r>
      <w:r/>
    </w:p>
    <w:p>
      <w:pPr>
        <w:jc w:val="left"/>
        <w:spacing w:line="332" w:lineRule="auto"/>
        <w:widowControl/>
        <w:rPr>
          <w:rFonts w:hint="eastAsia" w:ascii="宋体" w:hAnsi="宋体" w:eastAsia="宋体" w:cs="宋体"/>
          <w:b/>
          <w:bCs/>
          <w:color w:val="auto"/>
          <w:sz w:val="26"/>
          <w:szCs w:val="26"/>
          <w:highlight w:val="none"/>
        </w:rPr>
        <w:outlineLvl w:val="1"/>
      </w:pPr>
      <w:r/>
      <w:bookmarkStart w:id="98" w:name="_Toc18814"/>
      <w:r>
        <w:rPr>
          <w:rFonts w:hint="eastAsia" w:ascii="宋体" w:hAnsi="宋体" w:eastAsia="宋体" w:cs="宋体"/>
          <w:b/>
          <w:bCs/>
          <w:color w:val="auto"/>
          <w:sz w:val="26"/>
          <w:szCs w:val="26"/>
          <w:highlight w:val="none"/>
        </w:rPr>
        <w:t xml:space="preserve">6 磋商报价表（实质性格式）</w:t>
      </w:r>
      <w:bookmarkEnd w:id="98"/>
      <w:r>
        <w:rPr>
          <w:rFonts w:hint="eastAsia" w:ascii="宋体" w:hAnsi="宋体" w:eastAsia="宋体" w:cs="宋体"/>
          <w:b/>
          <w:bCs/>
          <w:color w:val="auto"/>
          <w:sz w:val="26"/>
          <w:szCs w:val="26"/>
          <w:highlight w:val="none"/>
        </w:rPr>
        <w:t xml:space="preserve"> </w:t>
      </w:r>
      <w:r/>
    </w:p>
    <w:p>
      <w:pPr>
        <w:pStyle w:val="732"/>
        <w:jc w:val="center"/>
        <w:widowControl/>
        <w:rPr>
          <w:color w:val="auto"/>
          <w:sz w:val="32"/>
          <w:szCs w:val="32"/>
          <w:highlight w:val="none"/>
        </w:rPr>
      </w:pPr>
      <w:r>
        <w:rPr>
          <w:rStyle w:val="737"/>
          <w:rFonts w:hint="eastAsia"/>
          <w:color w:val="auto"/>
          <w:sz w:val="32"/>
          <w:szCs w:val="32"/>
          <w:highlight w:val="none"/>
        </w:rPr>
        <w:t xml:space="preserve"> 磋商</w:t>
      </w:r>
      <w:r>
        <w:rPr>
          <w:rStyle w:val="737"/>
          <w:color w:val="auto"/>
          <w:sz w:val="32"/>
          <w:szCs w:val="32"/>
          <w:highlight w:val="none"/>
        </w:rPr>
        <w:t xml:space="preserve">报价表</w:t>
      </w:r>
      <w:r/>
    </w:p>
    <w:p>
      <w:pPr>
        <w:pStyle w:val="732"/>
        <w:widowControl/>
        <w:rPr>
          <w:color w:val="auto"/>
          <w:highlight w:val="none"/>
        </w:rPr>
      </w:pPr>
      <w:r>
        <w:rPr>
          <w:color w:val="auto"/>
          <w:highlight w:val="none"/>
        </w:rPr>
        <w:t xml:space="preserve">项目</w:t>
      </w:r>
      <w:r>
        <w:rPr>
          <w:rFonts w:hint="eastAsia"/>
          <w:color w:val="auto"/>
          <w:highlight w:val="none"/>
        </w:rPr>
        <w:t xml:space="preserve">名称</w:t>
      </w:r>
      <w:r>
        <w:rPr>
          <w:color w:val="auto"/>
          <w:highlight w:val="none"/>
        </w:rPr>
        <w:t xml:space="preserve">：</w:t>
      </w:r>
      <w:r/>
    </w:p>
    <w:p>
      <w:pPr>
        <w:pStyle w:val="732"/>
        <w:widowControl/>
        <w:rPr>
          <w:color w:val="auto"/>
          <w:highlight w:val="none"/>
        </w:rPr>
      </w:pPr>
      <w:r>
        <w:rPr>
          <w:color w:val="auto"/>
          <w:highlight w:val="none"/>
        </w:rPr>
        <w:t xml:space="preserve">项目编号 </w:t>
      </w:r>
      <w:r/>
    </w:p>
    <w:tbl>
      <w:tblPr>
        <w:tblStyle w:val="702"/>
        <w:tblW w:w="8455"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316"/>
        <w:gridCol w:w="3588"/>
        <w:gridCol w:w="1551"/>
      </w:tblGrid>
      <w:tr>
        <w:trPr>
          <w:tblCellSpacing w:w="15" w:type="dxa"/>
          <w:trHeight w:val="396"/>
        </w:trPr>
        <w:tc>
          <w:tcPr>
            <w:shd w:val="clear" w:color="auto" w:fill="auto"/>
            <w:tcW w:w="3271" w:type="dxa"/>
            <w:vAlign w:val="center"/>
            <w:textDirection w:val="lrTb"/>
            <w:noWrap w:val="false"/>
          </w:tcPr>
          <w:p>
            <w:pPr>
              <w:pStyle w:val="732"/>
              <w:widowControl/>
              <w:rPr>
                <w:color w:val="auto"/>
                <w:highlight w:val="none"/>
              </w:rPr>
            </w:pPr>
            <w:r>
              <w:rPr>
                <w:rFonts w:hint="eastAsia"/>
                <w:color w:val="auto"/>
                <w:highlight w:val="none"/>
              </w:rPr>
              <w:t xml:space="preserve">投标人名称</w:t>
            </w:r>
            <w:r/>
          </w:p>
        </w:tc>
        <w:tc>
          <w:tcPr>
            <w:shd w:val="clear" w:color="auto" w:fill="auto"/>
            <w:tcW w:w="3558" w:type="dxa"/>
            <w:vAlign w:val="center"/>
            <w:textDirection w:val="lrTb"/>
            <w:noWrap w:val="false"/>
          </w:tcPr>
          <w:p>
            <w:pPr>
              <w:pStyle w:val="732"/>
              <w:widowControl/>
              <w:rPr>
                <w:color w:val="auto"/>
                <w:highlight w:val="none"/>
              </w:rPr>
            </w:pPr>
            <w:r>
              <w:rPr>
                <w:rFonts w:hint="eastAsia"/>
                <w:color w:val="auto"/>
                <w:highlight w:val="none"/>
              </w:rPr>
              <w:t xml:space="preserve">优惠率</w:t>
            </w:r>
            <w:r/>
          </w:p>
        </w:tc>
        <w:tc>
          <w:tcPr>
            <w:shd w:val="clear" w:color="auto" w:fill="auto"/>
            <w:tcW w:w="1506" w:type="dxa"/>
            <w:vAlign w:val="center"/>
            <w:textDirection w:val="lrTb"/>
            <w:noWrap w:val="false"/>
          </w:tcPr>
          <w:p>
            <w:pPr>
              <w:pStyle w:val="732"/>
              <w:widowControl/>
              <w:rPr>
                <w:color w:val="auto"/>
                <w:highlight w:val="none"/>
              </w:rPr>
            </w:pPr>
            <w:r>
              <w:rPr>
                <w:color w:val="auto"/>
                <w:highlight w:val="none"/>
              </w:rPr>
              <w:t xml:space="preserve">备注</w:t>
            </w:r>
            <w:r/>
          </w:p>
        </w:tc>
      </w:tr>
      <w:tr>
        <w:trPr>
          <w:tblCellSpacing w:w="15" w:type="dxa"/>
          <w:trHeight w:val="477"/>
        </w:trPr>
        <w:tc>
          <w:tcPr>
            <w:shd w:val="clear" w:color="auto" w:fill="auto"/>
            <w:tcW w:w="3271" w:type="dxa"/>
            <w:vAlign w:val="center"/>
            <w:textDirection w:val="lrTb"/>
            <w:noWrap w:val="false"/>
          </w:tcPr>
          <w:p>
            <w:pPr>
              <w:pStyle w:val="732"/>
              <w:widowControl/>
              <w:rPr>
                <w:color w:val="auto"/>
                <w:highlight w:val="none"/>
              </w:rPr>
            </w:pPr>
            <w:r>
              <w:rPr>
                <w:rFonts w:hint="eastAsia"/>
                <w:color w:val="auto"/>
                <w:highlight w:val="none"/>
              </w:rPr>
              <w:t xml:space="preserve">供应商名称</w:t>
            </w:r>
            <w:r/>
          </w:p>
        </w:tc>
        <w:tc>
          <w:tcPr>
            <w:shd w:val="clear" w:color="auto" w:fill="auto"/>
            <w:tcW w:w="3558" w:type="dxa"/>
            <w:vAlign w:val="center"/>
            <w:textDirection w:val="lrTb"/>
            <w:noWrap w:val="false"/>
          </w:tcPr>
          <w:p>
            <w:pPr>
              <w:pStyle w:val="732"/>
              <w:widowControl/>
              <w:rPr>
                <w:color w:val="auto"/>
                <w:highlight w:val="none"/>
              </w:rPr>
            </w:pPr>
            <w:r>
              <w:rPr>
                <w:rFonts w:hint="eastAsia"/>
                <w:color w:val="auto"/>
                <w:highlight w:val="none"/>
              </w:rPr>
              <w:t xml:space="preserve">        %</w:t>
            </w:r>
            <w:r/>
          </w:p>
        </w:tc>
        <w:tc>
          <w:tcPr>
            <w:shd w:val="clear" w:color="auto" w:fill="auto"/>
            <w:tcW w:w="1506" w:type="dxa"/>
            <w:vAlign w:val="center"/>
            <w:textDirection w:val="lrTb"/>
            <w:noWrap w:val="false"/>
          </w:tcPr>
          <w:p>
            <w:pPr>
              <w:pStyle w:val="732"/>
              <w:widowControl/>
              <w:rPr>
                <w:color w:val="auto"/>
                <w:highlight w:val="none"/>
              </w:rPr>
            </w:pPr>
            <w:r>
              <w:rPr>
                <w:color w:val="auto"/>
                <w:highlight w:val="none"/>
              </w:rPr>
            </w:r>
            <w:r/>
          </w:p>
        </w:tc>
      </w:tr>
    </w:tbl>
    <w:p>
      <w:pPr>
        <w:pStyle w:val="732"/>
        <w:widowControl/>
        <w:rPr>
          <w:color w:val="auto"/>
          <w:highlight w:val="none"/>
        </w:rPr>
      </w:pPr>
      <w:r>
        <w:rPr>
          <w:color w:val="auto"/>
          <w:highlight w:val="none"/>
        </w:rPr>
      </w:r>
      <w:r/>
    </w:p>
    <w:p>
      <w:pPr>
        <w:pStyle w:val="732"/>
        <w:widowControl/>
        <w:rPr>
          <w:color w:val="auto"/>
          <w:highlight w:val="none"/>
        </w:rPr>
      </w:pPr>
      <w:r>
        <w:rPr>
          <w:rFonts w:hint="eastAsia"/>
          <w:color w:val="auto"/>
          <w:highlight w:val="none"/>
        </w:rPr>
        <w:t xml:space="preserve">供应商</w:t>
      </w:r>
      <w:r>
        <w:rPr>
          <w:color w:val="auto"/>
          <w:highlight w:val="none"/>
        </w:rPr>
        <w:t xml:space="preserve">公章：（电子签章）</w:t>
      </w:r>
      <w:r/>
    </w:p>
    <w:p>
      <w:pPr>
        <w:pStyle w:val="732"/>
        <w:widowControl/>
        <w:rPr>
          <w:color w:val="auto"/>
          <w:highlight w:val="none"/>
        </w:rPr>
      </w:pPr>
      <w:r>
        <w:rPr>
          <w:color w:val="auto"/>
          <w:highlight w:val="none"/>
        </w:rPr>
        <w:t xml:space="preserve"> </w:t>
      </w:r>
      <w:r/>
    </w:p>
    <w:p>
      <w:pPr>
        <w:pStyle w:val="732"/>
        <w:widowControl/>
        <w:rPr>
          <w:color w:val="auto"/>
          <w:highlight w:val="none"/>
        </w:rPr>
      </w:pPr>
      <w:r>
        <w:rPr>
          <w:color w:val="auto"/>
          <w:highlight w:val="none"/>
        </w:rPr>
        <w:t xml:space="preserve"> </w:t>
      </w:r>
      <w:r/>
    </w:p>
    <w:p>
      <w:pPr>
        <w:pStyle w:val="732"/>
        <w:widowControl/>
        <w:rPr>
          <w:color w:val="auto"/>
          <w:highlight w:val="none"/>
        </w:rPr>
      </w:pPr>
      <w:r>
        <w:rPr>
          <w:color w:val="auto"/>
          <w:highlight w:val="none"/>
        </w:rPr>
        <w:t xml:space="preserve">报价时间：  年  月   日</w:t>
      </w:r>
      <w:r/>
    </w:p>
    <w:p>
      <w:pPr>
        <w:pStyle w:val="732"/>
        <w:widowControl/>
        <w:rPr>
          <w:color w:val="auto"/>
          <w:highlight w:val="none"/>
        </w:rPr>
      </w:pPr>
      <w:r>
        <w:rPr>
          <w:color w:val="auto"/>
          <w:highlight w:val="none"/>
        </w:rPr>
      </w:r>
      <w:r/>
    </w:p>
    <w:p>
      <w:pPr>
        <w:pStyle w:val="732"/>
        <w:widowControl/>
        <w:rPr>
          <w:color w:val="auto"/>
          <w:highlight w:val="none"/>
        </w:rPr>
      </w:pPr>
      <w:r>
        <w:rPr>
          <w:color w:val="auto"/>
          <w:highlight w:val="none"/>
        </w:rPr>
      </w:r>
      <w:r/>
    </w:p>
    <w:p>
      <w:pPr>
        <w:pStyle w:val="732"/>
        <w:widowControl/>
        <w:rPr>
          <w:color w:val="auto"/>
          <w:highlight w:val="none"/>
        </w:rPr>
      </w:pPr>
      <w:r>
        <w:rPr>
          <w:rFonts w:hint="eastAsia"/>
          <w:color w:val="auto"/>
          <w:highlight w:val="none"/>
        </w:rPr>
        <w:t xml:space="preserve">（以电子平台格式为准）</w:t>
      </w:r>
      <w:r/>
    </w:p>
    <w:p>
      <w:pPr>
        <w:spacing w:line="332" w:lineRule="auto"/>
        <w:rPr>
          <w:rFonts w:ascii="宋体" w:hAnsi="宋体" w:eastAsia="宋体" w:cs="宋体"/>
          <w:color w:val="auto"/>
          <w:sz w:val="24"/>
          <w:highlight w:val="none"/>
        </w:rPr>
      </w:pPr>
      <w:r>
        <w:rPr>
          <w:color w:val="auto"/>
          <w:highlight w:val="none"/>
        </w:rPr>
        <w:br w:type="page" w:clear="all"/>
      </w:r>
      <w:r/>
    </w:p>
    <w:p>
      <w:pPr>
        <w:spacing w:line="332" w:lineRule="auto"/>
        <w:rPr>
          <w:rFonts w:ascii="宋体" w:hAnsi="宋体" w:eastAsia="宋体" w:cs="宋体"/>
          <w:color w:val="auto"/>
          <w:sz w:val="24"/>
          <w:highlight w:val="none"/>
        </w:rPr>
        <w:sectPr>
          <w:headerReference w:type="default" r:id="rId10"/>
          <w:footnotePr/>
          <w:endnotePr/>
          <w:type w:val="nextPage"/>
          <w:pgSz w:w="11906" w:h="16838" w:orient="portrait"/>
          <w:pgMar w:top="1580" w:right="1706" w:bottom="1440" w:left="1800" w:header="567" w:footer="850" w:gutter="0"/>
          <w:cols w:num="1" w:sep="0" w:space="425" w:equalWidth="1"/>
          <w:docGrid w:linePitch="360"/>
        </w:sectPr>
      </w:pPr>
      <w:r>
        <w:rPr>
          <w:rFonts w:ascii="宋体" w:hAnsi="宋体" w:eastAsia="宋体" w:cs="宋体"/>
          <w:color w:val="auto"/>
          <w:sz w:val="24"/>
          <w:highlight w:val="none"/>
        </w:rPr>
      </w:r>
      <w:r/>
    </w:p>
    <w:p>
      <w:pPr>
        <w:jc w:val="left"/>
        <w:rPr>
          <w:rFonts w:hint="eastAsia" w:ascii="宋体" w:hAnsi="宋体" w:eastAsia="宋体" w:cs="宋体"/>
          <w:color w:val="auto"/>
          <w:sz w:val="24"/>
          <w:highlight w:val="none"/>
        </w:rPr>
        <w:outlineLvl w:val="1"/>
      </w:pPr>
      <w:r/>
      <w:bookmarkStart w:id="99" w:name="_Toc13472"/>
      <w:r>
        <w:rPr>
          <w:rFonts w:hint="eastAsia" w:ascii="宋体" w:hAnsi="宋体" w:eastAsia="宋体" w:cs="宋体"/>
          <w:b/>
          <w:bCs/>
          <w:color w:val="auto"/>
          <w:sz w:val="26"/>
          <w:szCs w:val="26"/>
          <w:highlight w:val="none"/>
        </w:rPr>
        <w:t xml:space="preserve">7 合同条款偏离表（实质性格式）</w:t>
      </w:r>
      <w:bookmarkEnd w:id="99"/>
      <w:r>
        <w:rPr>
          <w:rFonts w:hint="eastAsia" w:ascii="宋体" w:hAnsi="宋体" w:eastAsia="宋体" w:cs="宋体"/>
          <w:color w:val="auto"/>
          <w:sz w:val="24"/>
          <w:highlight w:val="none"/>
        </w:rPr>
        <w:t xml:space="preserve"> </w:t>
      </w:r>
      <w:r/>
    </w:p>
    <w:p>
      <w:pPr>
        <w:jc w:val="center"/>
        <w:spacing w:line="332" w:lineRule="auto"/>
        <w:widowControl/>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合同条款偏离表</w:t>
      </w:r>
      <w:r/>
    </w:p>
    <w:p>
      <w:pPr>
        <w:spacing w:line="332"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项目编号/包号：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2130"/>
        <w:gridCol w:w="1545"/>
        <w:gridCol w:w="1725"/>
        <w:gridCol w:w="1350"/>
        <w:gridCol w:w="1001"/>
      </w:tblGrid>
      <w:tr>
        <w:trPr>
          <w:trHeight w:val="791"/>
        </w:trPr>
        <w:tc>
          <w:tcPr>
            <w:tcW w:w="865" w:type="dxa"/>
            <w:vAlign w:val="center"/>
            <w:textDirection w:val="lrTb"/>
            <w:noWrap w:val="false"/>
          </w:tcPr>
          <w:p>
            <w:pPr>
              <w:jc w:val="center"/>
              <w:spacing w:line="308" w:lineRule="auto"/>
              <w:widowControl/>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序号</w:t>
            </w:r>
            <w:r/>
          </w:p>
        </w:tc>
        <w:tc>
          <w:tcPr>
            <w:tcW w:w="2130" w:type="dxa"/>
            <w:vAlign w:val="center"/>
            <w:textDirection w:val="lrTb"/>
            <w:noWrap w:val="false"/>
          </w:tcPr>
          <w:p>
            <w:pPr>
              <w:jc w:val="center"/>
              <w:spacing w:line="308" w:lineRule="auto"/>
              <w:widowControl/>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竞争性磋商文件条目号（页码）</w:t>
            </w:r>
            <w:r/>
          </w:p>
        </w:tc>
        <w:tc>
          <w:tcPr>
            <w:tcW w:w="1545" w:type="dxa"/>
            <w:vAlign w:val="center"/>
            <w:textDirection w:val="lrTb"/>
            <w:noWrap w:val="false"/>
          </w:tcPr>
          <w:p>
            <w:pPr>
              <w:jc w:val="center"/>
              <w:spacing w:line="308" w:lineRule="auto"/>
              <w:widowControl/>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竞争性磋商文件要求</w:t>
            </w:r>
            <w:r/>
          </w:p>
        </w:tc>
        <w:tc>
          <w:tcPr>
            <w:tcW w:w="1725" w:type="dxa"/>
            <w:vAlign w:val="center"/>
            <w:textDirection w:val="lrTb"/>
            <w:noWrap w:val="false"/>
          </w:tcPr>
          <w:p>
            <w:pPr>
              <w:jc w:val="center"/>
              <w:spacing w:line="308" w:lineRule="auto"/>
              <w:widowControl/>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响应文件内容</w:t>
            </w:r>
            <w:r/>
          </w:p>
        </w:tc>
        <w:tc>
          <w:tcPr>
            <w:tcW w:w="1350" w:type="dxa"/>
            <w:vAlign w:val="center"/>
            <w:textDirection w:val="lrTb"/>
            <w:noWrap w:val="false"/>
          </w:tcPr>
          <w:p>
            <w:pPr>
              <w:jc w:val="center"/>
              <w:spacing w:line="308" w:lineRule="auto"/>
              <w:widowControl/>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偏离情况</w:t>
            </w:r>
            <w:r/>
          </w:p>
        </w:tc>
        <w:tc>
          <w:tcPr>
            <w:tcW w:w="1001" w:type="dxa"/>
            <w:vAlign w:val="center"/>
            <w:textDirection w:val="lrTb"/>
            <w:noWrap w:val="false"/>
          </w:tcPr>
          <w:p>
            <w:pPr>
              <w:jc w:val="center"/>
              <w:spacing w:line="308" w:lineRule="auto"/>
              <w:widowControl/>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说明</w:t>
            </w:r>
            <w:r/>
          </w:p>
        </w:tc>
      </w:tr>
      <w:tr>
        <w:trPr>
          <w:trHeight w:val="1670"/>
        </w:trPr>
        <w:tc>
          <w:tcPr>
            <w:gridSpan w:val="6"/>
            <w:tcW w:w="8616" w:type="dxa"/>
            <w:textDirection w:val="lrTb"/>
            <w:noWrap w:val="false"/>
          </w:tcPr>
          <w:p>
            <w:pPr>
              <w:jc w:val="left"/>
              <w:spacing w:line="308" w:lineRule="auto"/>
              <w:widowControl/>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 xml:space="preserve">对本项目合同条款的偏离情况（</w:t>
            </w:r>
            <w:r>
              <w:rPr>
                <w:rFonts w:hint="eastAsia" w:ascii="宋体" w:hAnsi="宋体" w:eastAsia="宋体" w:cs="宋体"/>
                <w:color w:val="auto"/>
                <w:sz w:val="23"/>
                <w:szCs w:val="23"/>
                <w:highlight w:val="none"/>
              </w:rPr>
              <w:t xml:space="preserve">应进行选择，未选择</w:t>
            </w:r>
            <w:r>
              <w:rPr>
                <w:rFonts w:hint="eastAsia" w:ascii="宋体" w:hAnsi="宋体" w:eastAsia="宋体" w:cs="宋体"/>
                <w:b/>
                <w:bCs/>
                <w:color w:val="auto"/>
                <w:sz w:val="23"/>
                <w:szCs w:val="23"/>
                <w:highlight w:val="none"/>
                <w:u w:val="single"/>
              </w:rPr>
              <w:t xml:space="preserve">响应无效</w:t>
            </w:r>
            <w:r>
              <w:rPr>
                <w:rFonts w:hint="eastAsia" w:ascii="宋体" w:hAnsi="宋体" w:eastAsia="宋体" w:cs="宋体"/>
                <w:b/>
                <w:bCs/>
                <w:color w:val="auto"/>
                <w:sz w:val="23"/>
                <w:szCs w:val="23"/>
                <w:highlight w:val="none"/>
              </w:rPr>
              <w:t xml:space="preserve">）： </w:t>
            </w:r>
            <w:r/>
          </w:p>
          <w:p>
            <w:pPr>
              <w:jc w:val="left"/>
              <w:spacing w:line="308" w:lineRule="auto"/>
              <w:widowControl/>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 xml:space="preserve">□ 无偏离</w:t>
            </w:r>
            <w:r>
              <w:rPr>
                <w:rFonts w:hint="eastAsia" w:ascii="宋体" w:hAnsi="宋体" w:eastAsia="宋体" w:cs="宋体"/>
                <w:color w:val="auto"/>
                <w:sz w:val="23"/>
                <w:szCs w:val="23"/>
                <w:highlight w:val="none"/>
              </w:rPr>
              <w:t xml:space="preserve">（如无偏离，仅选择无偏离即可；无偏离即为对合同条款中的所有要求，均视作供应商已对之理解和响应） </w:t>
            </w:r>
            <w:r/>
          </w:p>
          <w:p>
            <w:pPr>
              <w:jc w:val="left"/>
              <w:spacing w:line="308" w:lineRule="auto"/>
              <w:widowControl/>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 xml:space="preserve">□ 有偏离</w:t>
            </w:r>
            <w:r>
              <w:rPr>
                <w:rFonts w:hint="eastAsia" w:ascii="宋体" w:hAnsi="宋体" w:eastAsia="宋体" w:cs="宋体"/>
                <w:color w:val="auto"/>
                <w:sz w:val="23"/>
                <w:szCs w:val="23"/>
                <w:highlight w:val="none"/>
              </w:rPr>
              <w:t xml:space="preserve">（如有偏离，则应在本表中对负偏离项逐一列明，否则</w:t>
            </w:r>
            <w:r>
              <w:rPr>
                <w:rFonts w:hint="eastAsia" w:ascii="宋体" w:hAnsi="宋体" w:eastAsia="宋体" w:cs="宋体"/>
                <w:b/>
                <w:bCs/>
                <w:color w:val="auto"/>
                <w:sz w:val="23"/>
                <w:szCs w:val="23"/>
                <w:highlight w:val="none"/>
                <w:u w:val="single"/>
              </w:rPr>
              <w:t xml:space="preserve">响应无效</w:t>
            </w:r>
            <w:r>
              <w:rPr>
                <w:rFonts w:hint="eastAsia" w:ascii="宋体" w:hAnsi="宋体" w:eastAsia="宋体" w:cs="宋体"/>
                <w:color w:val="auto"/>
                <w:sz w:val="23"/>
                <w:szCs w:val="23"/>
                <w:highlight w:val="none"/>
              </w:rPr>
              <w:t xml:space="preserve">；对合同条款中的所有要求，除本表列明的偏离外，均视作供应商已对之理解和响应）</w:t>
            </w:r>
            <w:r/>
          </w:p>
        </w:tc>
      </w:tr>
      <w:tr>
        <w:trPr>
          <w:trHeight w:val="497"/>
        </w:trPr>
        <w:tc>
          <w:tcPr>
            <w:tcW w:w="86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2130"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54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72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350"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001"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497"/>
        </w:trPr>
        <w:tc>
          <w:tcPr>
            <w:tcW w:w="86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2130"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54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72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350"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001"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487"/>
        </w:trPr>
        <w:tc>
          <w:tcPr>
            <w:tcW w:w="86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2130"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54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72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350"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001"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522"/>
        </w:trPr>
        <w:tc>
          <w:tcPr>
            <w:tcW w:w="86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2130"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54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72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350"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001"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522"/>
        </w:trPr>
        <w:tc>
          <w:tcPr>
            <w:tcW w:w="86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2130"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54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72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350"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001"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522"/>
        </w:trPr>
        <w:tc>
          <w:tcPr>
            <w:tcW w:w="86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2130"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54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725"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350"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001" w:type="dxa"/>
            <w:textDirection w:val="lrTb"/>
            <w:noWrap w:val="false"/>
          </w:tcPr>
          <w:p>
            <w:pPr>
              <w:spacing w:line="308"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bl>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注：“偏离情况”列应据实填写“正偏离”或“负偏离”。 </w:t>
      </w:r>
      <w:r/>
    </w:p>
    <w:p>
      <w:pPr>
        <w:jc w:val="left"/>
        <w:spacing w:line="332"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332"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供应商名称（盖章）：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left"/>
        <w:spacing w:line="332"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332" w:lineRule="auto"/>
        <w:rPr>
          <w:rFonts w:ascii="宋体" w:hAnsi="宋体" w:eastAsia="宋体" w:cs="宋体"/>
          <w:color w:val="auto"/>
          <w:sz w:val="24"/>
          <w:highlight w:val="none"/>
        </w:rPr>
      </w:pPr>
      <w:r>
        <w:rPr>
          <w:color w:val="auto"/>
          <w:highlight w:val="none"/>
        </w:rPr>
        <w:br w:type="page" w:clear="all"/>
      </w:r>
      <w:r/>
    </w:p>
    <w:p>
      <w:pPr>
        <w:jc w:val="left"/>
        <w:rPr>
          <w:rFonts w:ascii="楷体" w:hAnsi="楷体" w:eastAsia="楷体" w:cs="楷体"/>
          <w:color w:val="auto"/>
          <w:sz w:val="24"/>
          <w:highlight w:val="none"/>
        </w:rPr>
        <w:outlineLvl w:val="1"/>
      </w:pPr>
      <w:r/>
      <w:bookmarkStart w:id="100" w:name="_Toc12320"/>
      <w:r>
        <w:rPr>
          <w:rFonts w:hint="eastAsia" w:ascii="宋体" w:hAnsi="宋体" w:eastAsia="宋体" w:cs="宋体"/>
          <w:b/>
          <w:bCs/>
          <w:color w:val="auto"/>
          <w:sz w:val="26"/>
          <w:szCs w:val="26"/>
          <w:highlight w:val="none"/>
        </w:rPr>
        <w:t xml:space="preserve">8 采购需求偏离表（实质性格式）</w:t>
      </w:r>
      <w:bookmarkEnd w:id="100"/>
      <w:r>
        <w:rPr>
          <w:rFonts w:hint="eastAsia" w:ascii="楷体" w:hAnsi="楷体" w:eastAsia="楷体" w:cs="楷体"/>
          <w:color w:val="auto"/>
          <w:sz w:val="24"/>
          <w:highlight w:val="none"/>
        </w:rPr>
        <w:t xml:space="preserve"> </w:t>
      </w:r>
      <w:r/>
    </w:p>
    <w:p>
      <w:pPr>
        <w:jc w:val="center"/>
        <w:spacing w:line="332" w:lineRule="auto"/>
        <w:widowControl/>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采购需求偏离表</w:t>
      </w:r>
      <w:r/>
    </w:p>
    <w:p>
      <w:pPr>
        <w:jc w:val="left"/>
        <w:spacing w:line="332"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项目编号/包号：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tbl>
      <w:tblPr>
        <w:tblStyle w:val="736"/>
        <w:tblW w:w="88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716"/>
        <w:gridCol w:w="2593"/>
        <w:gridCol w:w="1667"/>
        <w:gridCol w:w="1064"/>
      </w:tblGrid>
      <w:tr>
        <w:trPr>
          <w:jc w:val="center"/>
        </w:trPr>
        <w:tc>
          <w:tcPr>
            <w:tcW w:w="774" w:type="dxa"/>
            <w:vAlign w:val="center"/>
            <w:textDirection w:val="lrTb"/>
            <w:noWrap w:val="false"/>
          </w:tcPr>
          <w:p>
            <w:pPr>
              <w:pStyle w:val="735"/>
              <w:ind w:left="0" w:firstLine="0"/>
              <w:jc w:val="center"/>
              <w:spacing w:line="308" w:lineRule="auto"/>
              <w:rPr>
                <w:rFonts w:ascii="宋体" w:hAnsi="宋体" w:cs="宋体"/>
                <w:color w:val="auto"/>
                <w:sz w:val="23"/>
                <w:szCs w:val="23"/>
                <w:highlight w:val="none"/>
              </w:rPr>
            </w:pPr>
            <w:r>
              <w:rPr>
                <w:rFonts w:hint="eastAsia" w:ascii="宋体" w:hAnsi="宋体" w:cs="宋体"/>
                <w:color w:val="auto"/>
                <w:sz w:val="23"/>
                <w:szCs w:val="23"/>
                <w:highlight w:val="none"/>
              </w:rPr>
              <w:t xml:space="preserve">序号</w:t>
            </w:r>
            <w:r/>
          </w:p>
        </w:tc>
        <w:tc>
          <w:tcPr>
            <w:tcW w:w="2716" w:type="dxa"/>
            <w:vAlign w:val="center"/>
            <w:textDirection w:val="lrTb"/>
            <w:noWrap w:val="false"/>
          </w:tcPr>
          <w:p>
            <w:pPr>
              <w:jc w:val="center"/>
              <w:spacing w:line="308" w:lineRule="auto"/>
              <w:widowControl/>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竞争性磋商文件要求</w:t>
            </w:r>
            <w:r/>
          </w:p>
        </w:tc>
        <w:tc>
          <w:tcPr>
            <w:tcW w:w="2593" w:type="dxa"/>
            <w:vAlign w:val="center"/>
            <w:textDirection w:val="lrTb"/>
            <w:noWrap w:val="false"/>
          </w:tcPr>
          <w:p>
            <w:pPr>
              <w:jc w:val="center"/>
              <w:spacing w:line="308" w:lineRule="auto"/>
              <w:widowControl/>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响应内容</w:t>
            </w:r>
            <w:r/>
          </w:p>
        </w:tc>
        <w:tc>
          <w:tcPr>
            <w:tcW w:w="1667" w:type="dxa"/>
            <w:vAlign w:val="center"/>
            <w:textDirection w:val="lrTb"/>
            <w:noWrap w:val="false"/>
          </w:tcPr>
          <w:p>
            <w:pPr>
              <w:jc w:val="center"/>
              <w:spacing w:line="308" w:lineRule="auto"/>
              <w:widowControl/>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偏离情况</w:t>
            </w:r>
            <w:r/>
          </w:p>
        </w:tc>
        <w:tc>
          <w:tcPr>
            <w:tcW w:w="1064" w:type="dxa"/>
            <w:vAlign w:val="center"/>
            <w:textDirection w:val="lrTb"/>
            <w:noWrap w:val="false"/>
          </w:tcPr>
          <w:p>
            <w:pPr>
              <w:jc w:val="center"/>
              <w:spacing w:line="308" w:lineRule="auto"/>
              <w:widowControl/>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说明</w:t>
            </w:r>
            <w:r/>
          </w:p>
        </w:tc>
      </w:tr>
      <w:tr>
        <w:trPr>
          <w:jc w:val="center"/>
        </w:trPr>
        <w:tc>
          <w:tcPr>
            <w:tcW w:w="77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716"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593"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667"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06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r>
      <w:tr>
        <w:trPr>
          <w:jc w:val="center"/>
        </w:trPr>
        <w:tc>
          <w:tcPr>
            <w:tcW w:w="77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716"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593"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667"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06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r>
      <w:tr>
        <w:trPr>
          <w:jc w:val="center"/>
        </w:trPr>
        <w:tc>
          <w:tcPr>
            <w:tcW w:w="77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716"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593"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667"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06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r>
      <w:tr>
        <w:trPr>
          <w:jc w:val="center"/>
        </w:trPr>
        <w:tc>
          <w:tcPr>
            <w:tcW w:w="77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716"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593"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667"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06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r>
      <w:tr>
        <w:trPr>
          <w:jc w:val="center"/>
        </w:trPr>
        <w:tc>
          <w:tcPr>
            <w:tcW w:w="77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716"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593"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667"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06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r>
      <w:tr>
        <w:trPr>
          <w:jc w:val="center"/>
        </w:trPr>
        <w:tc>
          <w:tcPr>
            <w:tcW w:w="77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716"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593"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667"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06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r>
      <w:tr>
        <w:trPr>
          <w:jc w:val="center"/>
        </w:trPr>
        <w:tc>
          <w:tcPr>
            <w:tcW w:w="77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716"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593"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667"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06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r>
      <w:tr>
        <w:trPr>
          <w:jc w:val="center"/>
        </w:trPr>
        <w:tc>
          <w:tcPr>
            <w:tcW w:w="77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716"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2593"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667"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c>
          <w:tcPr>
            <w:tcW w:w="1064" w:type="dxa"/>
            <w:textDirection w:val="lrTb"/>
            <w:noWrap w:val="false"/>
          </w:tcPr>
          <w:p>
            <w:pPr>
              <w:pStyle w:val="735"/>
              <w:spacing w:line="308" w:lineRule="auto"/>
              <w:rPr>
                <w:rFonts w:ascii="宋体" w:hAnsi="宋体" w:cs="宋体"/>
                <w:color w:val="auto"/>
                <w:sz w:val="23"/>
                <w:szCs w:val="23"/>
                <w:highlight w:val="none"/>
              </w:rPr>
            </w:pPr>
            <w:r>
              <w:rPr>
                <w:rFonts w:ascii="宋体" w:hAnsi="宋体" w:cs="宋体"/>
                <w:color w:val="auto"/>
                <w:sz w:val="23"/>
                <w:szCs w:val="23"/>
                <w:highlight w:val="none"/>
              </w:rPr>
            </w:r>
            <w:r/>
          </w:p>
        </w:tc>
      </w:tr>
    </w:tbl>
    <w:p>
      <w:pP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注：1. 对竞争性磋商文件中的所有商务、技术要求进行偏离说明，除本表所列明的所有偏离外，均视作供应商已对之理解和响应。此表中若无任何文字说明，内容为空白的，</w:t>
      </w:r>
      <w:r>
        <w:rPr>
          <w:rFonts w:hint="eastAsia" w:ascii="宋体" w:hAnsi="宋体" w:eastAsia="宋体" w:cs="宋体"/>
          <w:b/>
          <w:bCs/>
          <w:color w:val="auto"/>
          <w:sz w:val="22"/>
          <w:szCs w:val="22"/>
          <w:highlight w:val="none"/>
          <w:u w:val="single"/>
        </w:rPr>
        <w:t xml:space="preserve">响应无效</w:t>
      </w:r>
      <w:r>
        <w:rPr>
          <w:rFonts w:hint="eastAsia" w:ascii="宋体" w:hAnsi="宋体" w:eastAsia="宋体" w:cs="宋体"/>
          <w:color w:val="auto"/>
          <w:sz w:val="22"/>
          <w:szCs w:val="22"/>
          <w:highlight w:val="none"/>
        </w:rPr>
        <w:t xml:space="preserve">。 </w:t>
      </w:r>
      <w:r/>
    </w:p>
    <w:p>
      <w:pPr>
        <w:rPr>
          <w:rFonts w:ascii="宋体" w:hAnsi="宋体" w:eastAsia="宋体" w:cs="宋体"/>
          <w:color w:val="auto"/>
          <w:sz w:val="24"/>
          <w:highlight w:val="none"/>
        </w:rPr>
      </w:pPr>
      <w:r>
        <w:rPr>
          <w:rFonts w:hint="eastAsia" w:ascii="宋体" w:hAnsi="宋体" w:eastAsia="宋体" w:cs="宋体"/>
          <w:color w:val="auto"/>
          <w:sz w:val="22"/>
          <w:szCs w:val="22"/>
          <w:highlight w:val="none"/>
        </w:rPr>
        <w:t xml:space="preserve">2.“偏离情况”列应据实填写“无偏离”“正偏离” 或“负偏离”。</w:t>
      </w:r>
      <w:r>
        <w:rPr>
          <w:rFonts w:hint="eastAsia" w:ascii="宋体" w:hAnsi="宋体" w:eastAsia="宋体" w:cs="宋体"/>
          <w:color w:val="auto"/>
          <w:sz w:val="24"/>
          <w:highlight w:val="none"/>
        </w:rPr>
        <w:t xml:space="preserve"> </w:t>
      </w:r>
      <w:r/>
    </w:p>
    <w:p>
      <w:pPr>
        <w:jc w:val="left"/>
        <w:spacing w:line="332"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332"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供应商名称（盖章）：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left"/>
        <w:spacing w:line="332"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735"/>
        <w:ind w:left="0" w:firstLine="0"/>
        <w:spacing w:line="332" w:lineRule="auto"/>
        <w:rPr>
          <w:rFonts w:ascii="宋体" w:hAnsi="宋体" w:cs="宋体"/>
          <w:color w:val="auto"/>
          <w:sz w:val="24"/>
          <w:highlight w:val="none"/>
        </w:rPr>
      </w:pPr>
      <w:r>
        <w:rPr>
          <w:rFonts w:ascii="宋体" w:hAnsi="宋体" w:cs="宋体"/>
          <w:color w:val="auto"/>
          <w:sz w:val="24"/>
          <w:highlight w:val="none"/>
        </w:rPr>
      </w:r>
      <w:r/>
    </w:p>
    <w:p>
      <w:pPr>
        <w:pStyle w:val="735"/>
        <w:ind w:left="0" w:firstLine="0"/>
        <w:spacing w:line="332" w:lineRule="auto"/>
        <w:rPr>
          <w:rFonts w:ascii="宋体" w:hAnsi="宋体" w:cs="宋体"/>
          <w:color w:val="auto"/>
          <w:sz w:val="24"/>
          <w:highlight w:val="none"/>
        </w:rPr>
      </w:pPr>
      <w:r>
        <w:rPr>
          <w:rFonts w:ascii="宋体" w:hAnsi="宋体" w:cs="宋体"/>
          <w:color w:val="auto"/>
          <w:sz w:val="24"/>
          <w:highlight w:val="none"/>
        </w:rPr>
      </w:r>
      <w:r/>
    </w:p>
    <w:p>
      <w:pPr>
        <w:pStyle w:val="735"/>
        <w:spacing w:line="332" w:lineRule="auto"/>
        <w:rPr>
          <w:rFonts w:ascii="宋体" w:hAnsi="宋体" w:cs="宋体"/>
          <w:color w:val="auto"/>
          <w:sz w:val="24"/>
          <w:highlight w:val="none"/>
        </w:rPr>
      </w:pPr>
      <w:r>
        <w:rPr>
          <w:rFonts w:ascii="宋体" w:hAnsi="宋体" w:cs="宋体"/>
          <w:color w:val="auto"/>
          <w:sz w:val="24"/>
          <w:highlight w:val="none"/>
        </w:rPr>
      </w:r>
      <w:r/>
    </w:p>
    <w:p>
      <w:pPr>
        <w:pStyle w:val="735"/>
        <w:spacing w:line="332" w:lineRule="auto"/>
        <w:rPr>
          <w:rFonts w:ascii="宋体" w:hAnsi="宋体" w:cs="宋体"/>
          <w:color w:val="auto"/>
          <w:sz w:val="24"/>
          <w:highlight w:val="none"/>
        </w:rPr>
      </w:pPr>
      <w:r>
        <w:rPr>
          <w:rFonts w:ascii="宋体" w:hAnsi="宋体" w:cs="宋体"/>
          <w:color w:val="auto"/>
          <w:sz w:val="24"/>
          <w:highlight w:val="none"/>
        </w:rPr>
      </w:r>
      <w:r/>
    </w:p>
    <w:p>
      <w:pPr>
        <w:spacing w:line="332" w:lineRule="auto"/>
        <w:rPr>
          <w:rFonts w:ascii="宋体" w:hAnsi="宋体" w:eastAsia="宋体" w:cs="宋体"/>
          <w:color w:val="auto"/>
          <w:sz w:val="24"/>
          <w:highlight w:val="none"/>
        </w:rPr>
      </w:pPr>
      <w:r>
        <w:rPr>
          <w:color w:val="auto"/>
          <w:highlight w:val="none"/>
        </w:rPr>
        <w:br w:type="page" w:clear="all"/>
      </w:r>
      <w:r/>
    </w:p>
    <w:p>
      <w:pPr>
        <w:jc w:val="left"/>
        <w:rPr>
          <w:rFonts w:ascii="楷体" w:hAnsi="楷体" w:eastAsia="楷体" w:cs="楷体"/>
          <w:color w:val="auto"/>
          <w:sz w:val="24"/>
          <w:highlight w:val="none"/>
        </w:rPr>
        <w:sectPr>
          <w:footnotePr/>
          <w:endnotePr/>
          <w:type w:val="nextPage"/>
          <w:pgSz w:w="11906" w:h="16838" w:orient="portrait"/>
          <w:pgMar w:top="1440" w:right="1706" w:bottom="1440" w:left="1800" w:header="851" w:footer="992" w:gutter="0"/>
          <w:cols w:num="1" w:sep="0" w:space="425" w:equalWidth="1"/>
          <w:docGrid w:linePitch="360"/>
        </w:sectPr>
        <w:outlineLvl w:val="1"/>
      </w:pPr>
      <w:r/>
      <w:bookmarkStart w:id="101" w:name="_Toc26651"/>
      <w:r/>
      <w:r/>
    </w:p>
    <w:p>
      <w:pPr>
        <w:jc w:val="left"/>
        <w:rPr>
          <w:rFonts w:hint="eastAsia" w:ascii="宋体" w:hAnsi="宋体" w:eastAsia="宋体" w:cs="宋体"/>
          <w:b/>
          <w:bCs/>
          <w:color w:val="auto"/>
          <w:sz w:val="26"/>
          <w:szCs w:val="26"/>
          <w:highlight w:val="none"/>
        </w:rPr>
        <w:outlineLvl w:val="1"/>
      </w:pPr>
      <w:r>
        <w:rPr>
          <w:rFonts w:hint="eastAsia" w:ascii="宋体" w:hAnsi="宋体" w:eastAsia="宋体" w:cs="宋体"/>
          <w:b/>
          <w:bCs/>
          <w:color w:val="auto"/>
          <w:sz w:val="26"/>
          <w:szCs w:val="26"/>
          <w:highlight w:val="none"/>
        </w:rPr>
        <w:t xml:space="preserve">9.竞争性磋商文件要求提供或供应商认为应附的其他材料</w:t>
      </w:r>
      <w:bookmarkEnd w:id="101"/>
      <w:r/>
      <w:r/>
    </w:p>
    <w:p>
      <w:pPr>
        <w:jc w:val="left"/>
        <w:spacing w:line="332"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32"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332" w:lineRule="auto"/>
        <w:rPr>
          <w:rFonts w:ascii="宋体" w:hAnsi="宋体" w:eastAsia="宋体" w:cs="宋体"/>
          <w:color w:val="auto"/>
          <w:sz w:val="24"/>
          <w:highlight w:val="none"/>
        </w:rPr>
      </w:pPr>
      <w:r>
        <w:rPr>
          <w:rFonts w:ascii="宋体" w:hAnsi="宋体" w:eastAsia="宋体" w:cs="宋体"/>
          <w:color w:val="auto"/>
          <w:sz w:val="24"/>
          <w:highlight w:val="none"/>
        </w:rPr>
      </w:r>
      <w:bookmarkEnd w:id="102"/>
      <w:r/>
      <w:r/>
    </w:p>
    <w:sectPr>
      <w:footnotePr/>
      <w:endnotePr/>
      <w:type w:val="nextPage"/>
      <w:pgSz w:w="11906" w:h="16838" w:orient="portrait"/>
      <w:pgMar w:top="1440" w:right="170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微软雅黑吀">
    <w:panose1 w:val="020B0503020204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6380" cy="139700"/>
              <wp:effectExtent l="6350" t="6350" r="6350" b="6350"/>
              <wp:wrapNone/>
              <wp:docPr id="1" name="文本框 2"/>
              <wp:cNvGraphicFramePr/>
              <a:graphic xmlns:a="http://schemas.openxmlformats.org/drawingml/2006/main">
                <a:graphicData uri="http://schemas.microsoft.com/office/word/2010/wordprocessingShape">
                  <wps:wsp>
                    <wps:cNvPr id="0" name=""/>
                    <wps:cNvSpPr/>
                    <wps:spPr bwMode="auto">
                      <a:xfrm>
                        <a:off x="0" y="0"/>
                        <a:ext cx="246346" cy="139526"/>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square" lIns="0" tIns="0" rIns="0" bIns="0" numCol="1" rtlCol="0" anchor="t">
                      <a:no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9.4pt;height:11.0pt;mso-wrap-distance-left:9.0pt;mso-wrap-distance-top:0.0pt;mso-wrap-distance-right:9.0pt;mso-wrap-distance-bottom:0.0pt;v-text-anchor:top;visibility:visible;" filled="f" stroked="f">
              <v:textbox inset="0,0,0,0">
                <w:txbxContent>
                  <w:p>
                    <w:pPr>
                      <w:pStyle w:val="719"/>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92">
    <w:name w:val="Heading 1"/>
    <w:basedOn w:val="691"/>
    <w:next w:val="691"/>
    <w:link w:val="928"/>
    <w:uiPriority w:val="0"/>
    <w:qFormat/>
    <w:pPr>
      <w:keepNext/>
      <w:outlineLvl w:val="0"/>
    </w:pPr>
    <w:rPr>
      <w:rFonts w:ascii="楷体_GB2312" w:eastAsia="楷体_GB2312"/>
      <w:sz w:val="28"/>
      <w:szCs w:val="20"/>
    </w:rPr>
  </w:style>
  <w:style w:type="paragraph" w:styleId="693">
    <w:name w:val="Heading 2"/>
    <w:basedOn w:val="691"/>
    <w:next w:val="691"/>
    <w:link w:val="758"/>
    <w:uiPriority w:val="0"/>
    <w:unhideWhenUsed/>
    <w:qFormat/>
    <w:pPr>
      <w:keepLines/>
      <w:keepNext/>
      <w:spacing w:before="260" w:after="260" w:line="413" w:lineRule="auto"/>
      <w:outlineLvl w:val="1"/>
    </w:pPr>
    <w:rPr>
      <w:rFonts w:ascii="Arial" w:hAnsi="Arial" w:eastAsia="黑体"/>
      <w:b/>
      <w:sz w:val="32"/>
    </w:rPr>
  </w:style>
  <w:style w:type="paragraph" w:styleId="694">
    <w:name w:val="Heading 3"/>
    <w:basedOn w:val="691"/>
    <w:next w:val="691"/>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65"/>
    <w:uiPriority w:val="0"/>
    <w:unhideWhenUsed/>
    <w:qFormat/>
    <w:pPr>
      <w:keepLines/>
      <w:keepNext/>
      <w:spacing w:before="280" w:after="290" w:line="372" w:lineRule="auto"/>
      <w:outlineLvl w:val="4"/>
    </w:pPr>
    <w:rPr>
      <w:b/>
      <w:sz w:val="28"/>
    </w:rPr>
  </w:style>
  <w:style w:type="paragraph" w:styleId="697">
    <w:name w:val="Heading 6"/>
    <w:basedOn w:val="691"/>
    <w:next w:val="691"/>
    <w:link w:val="766"/>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691"/>
    <w:next w:val="691"/>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768"/>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69"/>
    <w:uiPriority w:val="9"/>
    <w:unhideWhenUsed/>
    <w:qFormat/>
    <w:pPr>
      <w:keepLines/>
      <w:keepNext/>
      <w:spacing w:before="320" w:after="200"/>
      <w:outlineLvl w:val="8"/>
    </w:pPr>
    <w:rPr>
      <w:rFonts w:ascii="Arial" w:hAnsi="Arial" w:eastAsia="Arial" w:cs="Arial"/>
      <w:i/>
      <w:iCs/>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0"/>
    <w:qFormat/>
    <w:pPr>
      <w:ind w:left="2520"/>
    </w:pPr>
  </w:style>
  <w:style w:type="paragraph" w:styleId="704">
    <w:name w:val="Normal Indent"/>
    <w:basedOn w:val="691"/>
    <w:next w:val="691"/>
    <w:uiPriority w:val="0"/>
    <w:qFormat/>
    <w:pPr>
      <w:ind w:firstLine="420"/>
      <w:jc w:val="left"/>
    </w:pPr>
    <w:rPr>
      <w:rFonts w:ascii="宋体"/>
      <w:sz w:val="24"/>
      <w:szCs w:val="20"/>
      <w:lang w:val="zh-CN"/>
    </w:rPr>
  </w:style>
  <w:style w:type="paragraph" w:styleId="705">
    <w:name w:val="Caption"/>
    <w:basedOn w:val="691"/>
    <w:next w:val="69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6">
    <w:name w:val="Document Map"/>
    <w:basedOn w:val="691"/>
    <w:link w:val="918"/>
    <w:uiPriority w:val="0"/>
    <w:qFormat/>
    <w:pPr>
      <w:shd w:val="clear" w:color="auto" w:fill="000080"/>
    </w:pPr>
  </w:style>
  <w:style w:type="paragraph" w:styleId="707">
    <w:name w:val="Body Text"/>
    <w:basedOn w:val="691"/>
    <w:next w:val="708"/>
    <w:uiPriority w:val="0"/>
    <w:qFormat/>
    <w:rPr>
      <w:rFonts w:ascii="楷体_GB2312" w:hAnsi="Arial" w:eastAsia="楷体_GB2312"/>
      <w:sz w:val="28"/>
      <w:szCs w:val="20"/>
      <w:lang w:val="zh-CN"/>
    </w:rPr>
  </w:style>
  <w:style w:type="paragraph" w:styleId="708" w:customStyle="1">
    <w:name w:val="Heading 4_0"/>
    <w:basedOn w:val="691"/>
    <w:next w:val="691"/>
    <w:link w:val="932"/>
    <w:uiPriority w:val="0"/>
    <w:qFormat/>
    <w:pPr>
      <w:keepLines/>
      <w:keepNext/>
      <w:spacing w:before="280" w:after="290" w:line="376" w:lineRule="auto"/>
      <w:outlineLvl w:val="3"/>
    </w:pPr>
    <w:rPr>
      <w:rFonts w:ascii="Arial" w:hAnsi="Arial" w:eastAsia="黑体"/>
      <w:b/>
      <w:bCs/>
      <w:sz w:val="28"/>
      <w:szCs w:val="28"/>
    </w:rPr>
  </w:style>
  <w:style w:type="paragraph" w:styleId="709">
    <w:name w:val="Body Text Indent"/>
    <w:basedOn w:val="691"/>
    <w:uiPriority w:val="99"/>
    <w:qFormat/>
    <w:pPr>
      <w:ind w:firstLine="645"/>
    </w:pPr>
    <w:rPr>
      <w:rFonts w:ascii="楷体_GB2312" w:eastAsia="楷体_GB2312"/>
      <w:sz w:val="32"/>
      <w:szCs w:val="20"/>
    </w:rPr>
  </w:style>
  <w:style w:type="paragraph" w:styleId="710">
    <w:name w:val="Block Text"/>
    <w:basedOn w:val="691"/>
    <w:uiPriority w:val="0"/>
    <w:qFormat/>
    <w:pPr>
      <w:ind w:left="1440" w:right="700"/>
      <w:spacing w:after="120"/>
    </w:pPr>
  </w:style>
  <w:style w:type="paragraph" w:styleId="711">
    <w:name w:val="toc 5"/>
    <w:basedOn w:val="691"/>
    <w:next w:val="691"/>
    <w:uiPriority w:val="39"/>
    <w:unhideWhenUsed/>
    <w:qFormat/>
    <w:pPr>
      <w:ind w:left="1134"/>
      <w:spacing w:after="57"/>
    </w:pPr>
  </w:style>
  <w:style w:type="paragraph" w:styleId="712">
    <w:name w:val="toc 3"/>
    <w:basedOn w:val="691"/>
    <w:next w:val="691"/>
    <w:uiPriority w:val="0"/>
    <w:qFormat/>
    <w:pPr>
      <w:ind w:left="840"/>
    </w:pPr>
  </w:style>
  <w:style w:type="paragraph" w:styleId="713">
    <w:name w:val="Plain Text"/>
    <w:basedOn w:val="691"/>
    <w:uiPriority w:val="99"/>
    <w:qFormat/>
    <w:rPr>
      <w:rFonts w:ascii="宋体" w:hAnsi="Courier New"/>
      <w:sz w:val="20"/>
      <w:szCs w:val="20"/>
      <w:lang w:val="zh-CN"/>
    </w:rPr>
  </w:style>
  <w:style w:type="paragraph" w:styleId="714">
    <w:name w:val="toc 8"/>
    <w:basedOn w:val="691"/>
    <w:next w:val="691"/>
    <w:uiPriority w:val="39"/>
    <w:unhideWhenUsed/>
    <w:qFormat/>
    <w:pPr>
      <w:ind w:left="1984"/>
      <w:spacing w:after="57"/>
    </w:pPr>
  </w:style>
  <w:style w:type="paragraph" w:styleId="715">
    <w:name w:val="Date"/>
    <w:basedOn w:val="691"/>
    <w:next w:val="691"/>
    <w:uiPriority w:val="0"/>
    <w:qFormat/>
    <w:rPr>
      <w:sz w:val="24"/>
      <w:szCs w:val="20"/>
    </w:rPr>
  </w:style>
  <w:style w:type="paragraph" w:styleId="716">
    <w:name w:val="Body Text Indent 2"/>
    <w:basedOn w:val="691"/>
    <w:uiPriority w:val="0"/>
    <w:qFormat/>
    <w:pPr>
      <w:ind w:firstLine="560"/>
    </w:pPr>
    <w:rPr>
      <w:rFonts w:ascii="宋体" w:hAnsi="宋体"/>
      <w:sz w:val="28"/>
    </w:rPr>
  </w:style>
  <w:style w:type="paragraph" w:styleId="717">
    <w:name w:val="endnote text"/>
    <w:basedOn w:val="691"/>
    <w:link w:val="906"/>
    <w:uiPriority w:val="99"/>
    <w:semiHidden/>
    <w:unhideWhenUsed/>
    <w:qFormat/>
    <w:rPr>
      <w:sz w:val="20"/>
    </w:rPr>
  </w:style>
  <w:style w:type="paragraph" w:styleId="718">
    <w:name w:val="Balloon Text"/>
    <w:basedOn w:val="691"/>
    <w:link w:val="940"/>
    <w:uiPriority w:val="99"/>
    <w:semiHidden/>
    <w:unhideWhenUsed/>
    <w:qFormat/>
    <w:rPr>
      <w:sz w:val="18"/>
      <w:szCs w:val="18"/>
    </w:rPr>
  </w:style>
  <w:style w:type="paragraph" w:styleId="719">
    <w:name w:val="Footer"/>
    <w:basedOn w:val="691"/>
    <w:link w:val="779"/>
    <w:uiPriority w:val="0"/>
    <w:qFormat/>
    <w:pPr>
      <w:jc w:val="left"/>
      <w:tabs>
        <w:tab w:val="center" w:pos="4153" w:leader="none"/>
        <w:tab w:val="right" w:pos="8306" w:leader="none"/>
      </w:tabs>
    </w:pPr>
    <w:rPr>
      <w:sz w:val="18"/>
    </w:rPr>
  </w:style>
  <w:style w:type="paragraph" w:styleId="720">
    <w:name w:val="envelope return"/>
    <w:basedOn w:val="691"/>
    <w:uiPriority w:val="99"/>
    <w:unhideWhenUsed/>
    <w:qFormat/>
    <w:rPr>
      <w:rFonts w:ascii="Arial" w:hAnsi="Arial"/>
    </w:rPr>
  </w:style>
  <w:style w:type="paragraph" w:styleId="721">
    <w:name w:val="Header"/>
    <w:basedOn w:val="691"/>
    <w:link w:val="77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2">
    <w:name w:val="toc 1"/>
    <w:basedOn w:val="691"/>
    <w:next w:val="691"/>
    <w:uiPriority w:val="0"/>
    <w:qFormat/>
  </w:style>
  <w:style w:type="paragraph" w:styleId="723">
    <w:name w:val="toc 4"/>
    <w:basedOn w:val="691"/>
    <w:next w:val="691"/>
    <w:uiPriority w:val="39"/>
    <w:unhideWhenUsed/>
    <w:qFormat/>
    <w:pPr>
      <w:ind w:left="850"/>
      <w:spacing w:after="57"/>
    </w:pPr>
  </w:style>
  <w:style w:type="paragraph" w:styleId="724">
    <w:name w:val="Subtitle"/>
    <w:basedOn w:val="691"/>
    <w:next w:val="691"/>
    <w:link w:val="772"/>
    <w:uiPriority w:val="11"/>
    <w:qFormat/>
    <w:pPr>
      <w:spacing w:before="200" w:after="200"/>
    </w:pPr>
    <w:rPr>
      <w:sz w:val="24"/>
    </w:rPr>
  </w:style>
  <w:style w:type="paragraph" w:styleId="725">
    <w:name w:val="footnote text"/>
    <w:basedOn w:val="691"/>
    <w:link w:val="905"/>
    <w:uiPriority w:val="99"/>
    <w:semiHidden/>
    <w:unhideWhenUsed/>
    <w:qFormat/>
    <w:pPr>
      <w:spacing w:after="40"/>
    </w:pPr>
    <w:rPr>
      <w:sz w:val="18"/>
    </w:rPr>
  </w:style>
  <w:style w:type="paragraph" w:styleId="726">
    <w:name w:val="toc 6"/>
    <w:basedOn w:val="691"/>
    <w:next w:val="691"/>
    <w:uiPriority w:val="39"/>
    <w:unhideWhenUsed/>
    <w:qFormat/>
    <w:pPr>
      <w:ind w:left="1417"/>
      <w:spacing w:after="57"/>
    </w:pPr>
  </w:style>
  <w:style w:type="paragraph" w:styleId="727">
    <w:name w:val="table of figures"/>
    <w:basedOn w:val="691"/>
    <w:next w:val="691"/>
    <w:uiPriority w:val="99"/>
    <w:unhideWhenUsed/>
    <w:qFormat/>
  </w:style>
  <w:style w:type="paragraph" w:styleId="728">
    <w:name w:val="toc 2"/>
    <w:basedOn w:val="691"/>
    <w:next w:val="691"/>
    <w:uiPriority w:val="0"/>
    <w:qFormat/>
    <w:pPr>
      <w:ind w:left="420"/>
    </w:pPr>
  </w:style>
  <w:style w:type="paragraph" w:styleId="729">
    <w:name w:val="toc 9"/>
    <w:basedOn w:val="691"/>
    <w:next w:val="691"/>
    <w:uiPriority w:val="39"/>
    <w:unhideWhenUsed/>
    <w:qFormat/>
    <w:pPr>
      <w:ind w:left="2268"/>
      <w:spacing w:after="57"/>
    </w:pPr>
  </w:style>
  <w:style w:type="paragraph" w:styleId="730">
    <w:name w:val="Body Text 2"/>
    <w:basedOn w:val="691"/>
    <w:uiPriority w:val="99"/>
    <w:qFormat/>
    <w:rPr>
      <w:rFonts w:eastAsia="仿宋_GB2312"/>
      <w:color w:val="000000"/>
    </w:rPr>
  </w:style>
  <w:style w:type="paragraph" w:styleId="731">
    <w:name w:val="HTML Preformatted"/>
    <w:basedOn w:val="691"/>
    <w:uiPriority w:val="0"/>
    <w:unhideWhenUsed/>
    <w:qFormat/>
    <w:rPr>
      <w:rFonts w:ascii="Courier New" w:hAnsi="Courier New" w:cs="Courier New"/>
      <w:sz w:val="20"/>
      <w:szCs w:val="20"/>
    </w:rPr>
  </w:style>
  <w:style w:type="paragraph" w:styleId="732">
    <w:name w:val="Normal (Web)"/>
    <w:basedOn w:val="691"/>
    <w:uiPriority w:val="0"/>
    <w:qFormat/>
    <w:pPr>
      <w:jc w:val="left"/>
    </w:pPr>
    <w:rPr>
      <w:sz w:val="24"/>
    </w:rPr>
  </w:style>
  <w:style w:type="paragraph" w:styleId="733">
    <w:name w:val="Title"/>
    <w:basedOn w:val="691"/>
    <w:next w:val="691"/>
    <w:link w:val="771"/>
    <w:uiPriority w:val="10"/>
    <w:qFormat/>
    <w:pPr>
      <w:contextualSpacing/>
      <w:spacing w:before="300" w:after="200"/>
    </w:pPr>
    <w:rPr>
      <w:sz w:val="48"/>
      <w:szCs w:val="48"/>
    </w:rPr>
  </w:style>
  <w:style w:type="paragraph" w:styleId="734">
    <w:name w:val="Body Text First Indent"/>
    <w:basedOn w:val="707"/>
    <w:next w:val="731"/>
    <w:uiPriority w:val="0"/>
    <w:qFormat/>
    <w:pPr>
      <w:ind w:firstLine="420"/>
    </w:pPr>
    <w:rPr>
      <w:rFonts w:ascii="Verdana" w:hAnsi="Verdana"/>
      <w:szCs w:val="28"/>
      <w:lang w:eastAsia="en-US"/>
    </w:rPr>
  </w:style>
  <w:style w:type="paragraph" w:styleId="735">
    <w:name w:val="Body Text First Indent 2"/>
    <w:basedOn w:val="709"/>
    <w:uiPriority w:val="0"/>
    <w:unhideWhenUsed/>
    <w:qFormat/>
    <w:pPr>
      <w:ind w:left="420" w:firstLine="420"/>
      <w:spacing w:after="120"/>
    </w:pPr>
    <w:rPr>
      <w:rFonts w:ascii="Times New Roman" w:eastAsia="宋体"/>
      <w:sz w:val="21"/>
      <w:szCs w:val="24"/>
    </w:rPr>
  </w:style>
  <w:style w:type="table" w:styleId="736">
    <w:name w:val="Table Grid"/>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Strong"/>
    <w:basedOn w:val="701"/>
    <w:uiPriority w:val="0"/>
    <w:qFormat/>
    <w:rPr>
      <w:b/>
    </w:rPr>
  </w:style>
  <w:style w:type="character" w:styleId="738">
    <w:name w:val="endnote reference"/>
    <w:basedOn w:val="701"/>
    <w:uiPriority w:val="99"/>
    <w:semiHidden/>
    <w:unhideWhenUsed/>
    <w:qFormat/>
    <w:rPr>
      <w:vertAlign w:val="superscript"/>
    </w:rPr>
  </w:style>
  <w:style w:type="character" w:styleId="739">
    <w:name w:val="Emphasis"/>
    <w:basedOn w:val="701"/>
    <w:uiPriority w:val="0"/>
    <w:qFormat/>
    <w:rPr>
      <w:i/>
    </w:rPr>
  </w:style>
  <w:style w:type="character" w:styleId="740">
    <w:name w:val="Hyperlink"/>
    <w:uiPriority w:val="0"/>
    <w:qFormat/>
    <w:rPr>
      <w:color w:val="0000ff"/>
      <w:u w:val="single"/>
    </w:rPr>
  </w:style>
  <w:style w:type="character" w:styleId="741">
    <w:name w:val="footnote reference"/>
    <w:basedOn w:val="701"/>
    <w:uiPriority w:val="99"/>
    <w:unhideWhenUsed/>
    <w:qFormat/>
    <w:rPr>
      <w:vertAlign w:val="superscript"/>
    </w:rPr>
  </w:style>
  <w:style w:type="character" w:styleId="742" w:customStyle="1">
    <w:name w:val="Heading 2 Char"/>
    <w:basedOn w:val="701"/>
    <w:uiPriority w:val="9"/>
    <w:qFormat/>
    <w:rPr>
      <w:rFonts w:ascii="Arial" w:hAnsi="Arial" w:eastAsia="Arial" w:cs="Arial"/>
      <w:sz w:val="34"/>
    </w:rPr>
  </w:style>
  <w:style w:type="character" w:styleId="743" w:customStyle="1">
    <w:name w:val="Heading 5 Char"/>
    <w:basedOn w:val="701"/>
    <w:uiPriority w:val="9"/>
    <w:qFormat/>
    <w:rPr>
      <w:rFonts w:ascii="Arial" w:hAnsi="Arial" w:eastAsia="Arial" w:cs="Arial"/>
      <w:b/>
      <w:bCs/>
      <w:sz w:val="24"/>
      <w:szCs w:val="24"/>
    </w:rPr>
  </w:style>
  <w:style w:type="character" w:styleId="744" w:customStyle="1">
    <w:name w:val="Heading 6 Char"/>
    <w:basedOn w:val="701"/>
    <w:uiPriority w:val="9"/>
    <w:qFormat/>
    <w:rPr>
      <w:rFonts w:ascii="Arial" w:hAnsi="Arial" w:eastAsia="Arial" w:cs="Arial"/>
      <w:b/>
      <w:bCs/>
      <w:sz w:val="22"/>
      <w:szCs w:val="22"/>
    </w:rPr>
  </w:style>
  <w:style w:type="character" w:styleId="745" w:customStyle="1">
    <w:name w:val="Heading 7 Char"/>
    <w:basedOn w:val="701"/>
    <w:uiPriority w:val="9"/>
    <w:qFormat/>
    <w:rPr>
      <w:rFonts w:ascii="Arial" w:hAnsi="Arial" w:eastAsia="Arial" w:cs="Arial"/>
      <w:b/>
      <w:bCs/>
      <w:i/>
      <w:iCs/>
      <w:sz w:val="22"/>
      <w:szCs w:val="22"/>
    </w:rPr>
  </w:style>
  <w:style w:type="character" w:styleId="746" w:customStyle="1">
    <w:name w:val="Heading 8 Char"/>
    <w:basedOn w:val="701"/>
    <w:uiPriority w:val="9"/>
    <w:qFormat/>
    <w:rPr>
      <w:rFonts w:ascii="Arial" w:hAnsi="Arial" w:eastAsia="Arial" w:cs="Arial"/>
      <w:i/>
      <w:iCs/>
      <w:sz w:val="22"/>
      <w:szCs w:val="22"/>
    </w:rPr>
  </w:style>
  <w:style w:type="character" w:styleId="747" w:customStyle="1">
    <w:name w:val="Heading 9 Char"/>
    <w:basedOn w:val="701"/>
    <w:uiPriority w:val="9"/>
    <w:qFormat/>
    <w:rPr>
      <w:rFonts w:ascii="Arial" w:hAnsi="Arial" w:eastAsia="Arial" w:cs="Arial"/>
      <w:i/>
      <w:iCs/>
      <w:sz w:val="21"/>
      <w:szCs w:val="21"/>
    </w:rPr>
  </w:style>
  <w:style w:type="character" w:styleId="748" w:customStyle="1">
    <w:name w:val="Title Char"/>
    <w:basedOn w:val="701"/>
    <w:uiPriority w:val="10"/>
    <w:qFormat/>
    <w:rPr>
      <w:sz w:val="48"/>
      <w:szCs w:val="48"/>
    </w:rPr>
  </w:style>
  <w:style w:type="character" w:styleId="749" w:customStyle="1">
    <w:name w:val="Subtitle Char"/>
    <w:basedOn w:val="701"/>
    <w:uiPriority w:val="11"/>
    <w:qFormat/>
    <w:rPr>
      <w:sz w:val="24"/>
      <w:szCs w:val="24"/>
    </w:rPr>
  </w:style>
  <w:style w:type="character" w:styleId="750" w:customStyle="1">
    <w:name w:val="Quote Char"/>
    <w:uiPriority w:val="29"/>
    <w:qFormat/>
    <w:rPr>
      <w:i/>
    </w:rPr>
  </w:style>
  <w:style w:type="character" w:styleId="751" w:customStyle="1">
    <w:name w:val="Intense Quote Char"/>
    <w:uiPriority w:val="30"/>
    <w:qFormat/>
    <w:rPr>
      <w:i/>
    </w:rPr>
  </w:style>
  <w:style w:type="character" w:styleId="752" w:customStyle="1">
    <w:name w:val="Header Char"/>
    <w:basedOn w:val="701"/>
    <w:uiPriority w:val="99"/>
    <w:qFormat/>
  </w:style>
  <w:style w:type="character" w:styleId="753" w:customStyle="1">
    <w:name w:val="Caption Char"/>
    <w:uiPriority w:val="99"/>
    <w:qFormat/>
  </w:style>
  <w:style w:type="character" w:styleId="754" w:customStyle="1">
    <w:name w:val="Footnote Text Char"/>
    <w:uiPriority w:val="99"/>
    <w:qFormat/>
    <w:rPr>
      <w:sz w:val="18"/>
    </w:rPr>
  </w:style>
  <w:style w:type="character" w:styleId="755" w:customStyle="1">
    <w:name w:val="Endnote Text Char"/>
    <w:uiPriority w:val="99"/>
    <w:qFormat/>
    <w:rPr>
      <w:sz w:val="20"/>
    </w:rPr>
  </w:style>
  <w:style w:type="paragraph" w:styleId="756" w:customStyle="1">
    <w:name w:val="TOC Heading"/>
    <w:uiPriority w:val="39"/>
    <w:unhideWhenUsed/>
    <w:qFormat/>
    <w:rPr>
      <w:rFonts w:hint="default" w:ascii="Times New Roman" w:hAnsi="Times New Roman" w:eastAsia="宋体" w:cs="Times New Roman"/>
    </w:rPr>
  </w:style>
  <w:style w:type="character" w:styleId="757" w:customStyle="1">
    <w:name w:val="Heading 1 Char"/>
    <w:basedOn w:val="701"/>
    <w:uiPriority w:val="9"/>
    <w:qFormat/>
    <w:rPr>
      <w:rFonts w:ascii="Arial" w:hAnsi="Arial" w:eastAsia="Arial" w:cs="Arial"/>
      <w:sz w:val="40"/>
      <w:szCs w:val="40"/>
    </w:rPr>
  </w:style>
  <w:style w:type="character" w:styleId="758" w:customStyle="1">
    <w:name w:val="标题 2 Char"/>
    <w:basedOn w:val="701"/>
    <w:link w:val="693"/>
    <w:uiPriority w:val="9"/>
    <w:qFormat/>
    <w:rPr>
      <w:rFonts w:ascii="Arial" w:hAnsi="Arial" w:eastAsia="Arial" w:cs="Arial"/>
      <w:sz w:val="34"/>
    </w:rPr>
  </w:style>
  <w:style w:type="character" w:styleId="759" w:customStyle="1">
    <w:name w:val="Heading 3 Char"/>
    <w:basedOn w:val="701"/>
    <w:link w:val="760"/>
    <w:uiPriority w:val="9"/>
    <w:qFormat/>
    <w:rPr>
      <w:rFonts w:ascii="Arial" w:hAnsi="Arial" w:eastAsia="Arial" w:cs="Arial"/>
      <w:sz w:val="30"/>
      <w:szCs w:val="30"/>
    </w:rPr>
  </w:style>
  <w:style w:type="paragraph" w:styleId="760" w:customStyle="1">
    <w:name w:val="标题 31"/>
    <w:basedOn w:val="761"/>
    <w:next w:val="762"/>
    <w:link w:val="759"/>
    <w:uiPriority w:val="0"/>
    <w:qFormat/>
    <w:pPr>
      <w:jc w:val="both"/>
      <w:keepLines/>
      <w:keepNext/>
      <w:spacing w:before="260" w:after="260" w:line="413" w:lineRule="auto"/>
      <w:widowControl w:val="off"/>
      <w:outlineLvl w:val="2"/>
    </w:pPr>
    <w:rPr>
      <w:b/>
      <w:sz w:val="32"/>
    </w:rPr>
  </w:style>
  <w:style w:type="paragraph" w:styleId="761" w:customStyle="1">
    <w:name w:val="正文11"/>
    <w:uiPriority w:val="0"/>
    <w:qFormat/>
    <w:rPr>
      <w:rFonts w:hint="default" w:ascii="Times New Roman" w:hAnsi="Times New Roman" w:eastAsia="宋体" w:cs="Times New Roman"/>
      <w:lang w:val="en-US" w:eastAsia="zh-CN" w:bidi="ar-SA"/>
    </w:rPr>
  </w:style>
  <w:style w:type="paragraph" w:styleId="762" w:customStyle="1">
    <w:name w:val="_正文"/>
    <w:basedOn w:val="691"/>
    <w:uiPriority w:val="0"/>
    <w:qFormat/>
    <w:pPr>
      <w:spacing w:line="360" w:lineRule="auto"/>
    </w:pPr>
    <w:rPr>
      <w:sz w:val="24"/>
    </w:rPr>
  </w:style>
  <w:style w:type="character" w:styleId="763" w:customStyle="1">
    <w:name w:val="Heading 4 Char"/>
    <w:basedOn w:val="701"/>
    <w:link w:val="764"/>
    <w:uiPriority w:val="9"/>
    <w:qFormat/>
    <w:rPr>
      <w:rFonts w:ascii="Arial" w:hAnsi="Arial" w:eastAsia="Arial" w:cs="Arial"/>
      <w:b/>
      <w:bCs/>
      <w:sz w:val="26"/>
      <w:szCs w:val="26"/>
    </w:rPr>
  </w:style>
  <w:style w:type="paragraph" w:styleId="764" w:customStyle="1">
    <w:name w:val="标题 41"/>
    <w:basedOn w:val="761"/>
    <w:next w:val="762"/>
    <w:link w:val="763"/>
    <w:uiPriority w:val="0"/>
    <w:qFormat/>
    <w:pPr>
      <w:jc w:val="both"/>
      <w:keepLines/>
      <w:keepNext/>
      <w:spacing w:before="280" w:after="290" w:line="372" w:lineRule="auto"/>
      <w:widowControl w:val="off"/>
      <w:outlineLvl w:val="3"/>
    </w:pPr>
    <w:rPr>
      <w:rFonts w:ascii="Arial" w:hAnsi="Arial" w:eastAsia="黑体"/>
      <w:b/>
      <w:sz w:val="28"/>
    </w:rPr>
  </w:style>
  <w:style w:type="character" w:styleId="765" w:customStyle="1">
    <w:name w:val="标题 5 Char"/>
    <w:basedOn w:val="701"/>
    <w:link w:val="696"/>
    <w:uiPriority w:val="9"/>
    <w:qFormat/>
    <w:rPr>
      <w:rFonts w:ascii="Arial" w:hAnsi="Arial" w:eastAsia="Arial" w:cs="Arial"/>
      <w:b/>
      <w:bCs/>
      <w:sz w:val="24"/>
      <w:szCs w:val="24"/>
    </w:rPr>
  </w:style>
  <w:style w:type="character" w:styleId="766" w:customStyle="1">
    <w:name w:val="标题 6 Char"/>
    <w:basedOn w:val="701"/>
    <w:link w:val="697"/>
    <w:uiPriority w:val="9"/>
    <w:qFormat/>
    <w:rPr>
      <w:rFonts w:ascii="Arial" w:hAnsi="Arial" w:eastAsia="Arial" w:cs="Arial"/>
      <w:b/>
      <w:bCs/>
      <w:sz w:val="22"/>
      <w:szCs w:val="22"/>
    </w:rPr>
  </w:style>
  <w:style w:type="character" w:styleId="767" w:customStyle="1">
    <w:name w:val="标题 7 Char"/>
    <w:basedOn w:val="701"/>
    <w:link w:val="698"/>
    <w:uiPriority w:val="9"/>
    <w:qFormat/>
    <w:rPr>
      <w:rFonts w:ascii="Arial" w:hAnsi="Arial" w:eastAsia="Arial" w:cs="Arial"/>
      <w:b/>
      <w:bCs/>
      <w:i/>
      <w:iCs/>
      <w:sz w:val="22"/>
      <w:szCs w:val="22"/>
    </w:rPr>
  </w:style>
  <w:style w:type="character" w:styleId="768" w:customStyle="1">
    <w:name w:val="标题 8 Char"/>
    <w:basedOn w:val="701"/>
    <w:link w:val="699"/>
    <w:uiPriority w:val="9"/>
    <w:qFormat/>
    <w:rPr>
      <w:rFonts w:ascii="Arial" w:hAnsi="Arial" w:eastAsia="Arial" w:cs="Arial"/>
      <w:i/>
      <w:iCs/>
      <w:sz w:val="22"/>
      <w:szCs w:val="22"/>
    </w:rPr>
  </w:style>
  <w:style w:type="character" w:styleId="769" w:customStyle="1">
    <w:name w:val="标题 9 Char"/>
    <w:basedOn w:val="701"/>
    <w:link w:val="700"/>
    <w:uiPriority w:val="9"/>
    <w:qFormat/>
    <w:rPr>
      <w:rFonts w:ascii="Arial" w:hAnsi="Arial" w:eastAsia="Arial" w:cs="Arial"/>
      <w:i/>
      <w:iCs/>
      <w:sz w:val="21"/>
      <w:szCs w:val="21"/>
    </w:rPr>
  </w:style>
  <w:style w:type="paragraph" w:styleId="770">
    <w:name w:val="No Spacing"/>
    <w:uiPriority w:val="1"/>
    <w:qFormat/>
    <w:rPr>
      <w:rFonts w:hint="default" w:ascii="Times New Roman" w:hAnsi="Times New Roman" w:eastAsia="宋体" w:cs="Times New Roman"/>
      <w:lang w:val="en-US" w:eastAsia="zh-CN" w:bidi="ar-SA"/>
    </w:rPr>
  </w:style>
  <w:style w:type="character" w:styleId="771" w:customStyle="1">
    <w:name w:val="标题 Char"/>
    <w:basedOn w:val="701"/>
    <w:link w:val="733"/>
    <w:uiPriority w:val="10"/>
    <w:qFormat/>
    <w:rPr>
      <w:sz w:val="48"/>
      <w:szCs w:val="48"/>
    </w:rPr>
  </w:style>
  <w:style w:type="character" w:styleId="772" w:customStyle="1">
    <w:name w:val="副标题 Char"/>
    <w:basedOn w:val="701"/>
    <w:link w:val="724"/>
    <w:uiPriority w:val="11"/>
    <w:qFormat/>
    <w:rPr>
      <w:sz w:val="24"/>
      <w:szCs w:val="24"/>
    </w:rPr>
  </w:style>
  <w:style w:type="paragraph" w:styleId="773">
    <w:name w:val="Quote"/>
    <w:basedOn w:val="691"/>
    <w:next w:val="691"/>
    <w:link w:val="774"/>
    <w:uiPriority w:val="29"/>
    <w:qFormat/>
    <w:pPr>
      <w:ind w:left="720" w:right="720"/>
    </w:pPr>
    <w:rPr>
      <w:i/>
    </w:rPr>
  </w:style>
  <w:style w:type="character" w:styleId="774" w:customStyle="1">
    <w:name w:val="引用 Char"/>
    <w:link w:val="773"/>
    <w:uiPriority w:val="29"/>
    <w:qFormat/>
    <w:rPr>
      <w:i/>
    </w:rPr>
  </w:style>
  <w:style w:type="paragraph" w:styleId="775">
    <w:name w:val="Intense Quote"/>
    <w:basedOn w:val="691"/>
    <w:next w:val="691"/>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qFormat/>
    <w:rPr>
      <w:i/>
    </w:rPr>
  </w:style>
  <w:style w:type="character" w:styleId="777" w:customStyle="1">
    <w:name w:val="页眉 Char"/>
    <w:basedOn w:val="701"/>
    <w:link w:val="721"/>
    <w:uiPriority w:val="99"/>
    <w:qFormat/>
  </w:style>
  <w:style w:type="character" w:styleId="778" w:customStyle="1">
    <w:name w:val="Footer Char"/>
    <w:basedOn w:val="701"/>
    <w:uiPriority w:val="99"/>
    <w:qFormat/>
  </w:style>
  <w:style w:type="character" w:styleId="779" w:customStyle="1">
    <w:name w:val="页脚 Char"/>
    <w:link w:val="719"/>
    <w:uiPriority w:val="99"/>
    <w:qFormat/>
  </w:style>
  <w:style w:type="table" w:styleId="780" w:customStyle="1">
    <w:name w:val="Table Grid Light"/>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0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0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0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0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0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0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0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0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0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0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0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0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0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02"/>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02"/>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0" w:customStyle="1">
    <w:name w:val="Grid Table 3"/>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0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0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0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0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02"/>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02"/>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0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9" w:customStyle="1">
    <w:name w:val="Grid Table 4 - Accent 2"/>
    <w:basedOn w:val="70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0" w:customStyle="1">
    <w:name w:val="Grid Table 4 - Accent 3"/>
    <w:basedOn w:val="70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1" w:customStyle="1">
    <w:name w:val="Grid Table 4 - Accent 4"/>
    <w:basedOn w:val="70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2" w:customStyle="1">
    <w:name w:val="Grid Table 4 - Accent 5"/>
    <w:basedOn w:val="70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3" w:customStyle="1">
    <w:name w:val="Grid Table 4 - Accent 6"/>
    <w:basedOn w:val="70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4" w:customStyle="1">
    <w:name w:val="Grid Table 5 Dark"/>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6" w:customStyle="1">
    <w:name w:val="Grid Table 5 Dark - Accent 2"/>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7" w:customStyle="1">
    <w:name w:val="Grid Table 5 Dark - Accent 3"/>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8" w:customStyle="1">
    <w:name w:val="Grid Table 5 Dark- Accent 4"/>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9" w:customStyle="1">
    <w:name w:val="Grid Table 5 Dark - Accent 5"/>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0" w:customStyle="1">
    <w:name w:val="Grid Table 5 Dark - Accent 6"/>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1" w:customStyle="1">
    <w:name w:val="Grid Table 6 Colorful"/>
    <w:basedOn w:val="7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70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70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70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25" w:customStyle="1">
    <w:name w:val="Grid Table 6 Colorful - Accent 4"/>
    <w:basedOn w:val="70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70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7" w:customStyle="1">
    <w:name w:val="Grid Table 6 Colorful - Accent 6"/>
    <w:basedOn w:val="70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8" w:customStyle="1">
    <w:name w:val="Grid Table 7 Colorful"/>
    <w:basedOn w:val="7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0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0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0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0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0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0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basedOn w:val="70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02"/>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02"/>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02"/>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02"/>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02"/>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02"/>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2" w:customStyle="1">
    <w:name w:val="List Table 2"/>
    <w:basedOn w:val="7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70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4" w:customStyle="1">
    <w:name w:val="List Table 2 - Accent 2"/>
    <w:basedOn w:val="70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5" w:customStyle="1">
    <w:name w:val="List Table 2 - Accent 3"/>
    <w:basedOn w:val="70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6" w:customStyle="1">
    <w:name w:val="List Table 2 - Accent 4"/>
    <w:basedOn w:val="70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7" w:customStyle="1">
    <w:name w:val="List Table 2 - Accent 5"/>
    <w:basedOn w:val="70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8" w:customStyle="1">
    <w:name w:val="List Table 2 - Accent 6"/>
    <w:basedOn w:val="70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9" w:customStyle="1">
    <w:name w:val="List Table 3"/>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0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1" w:customStyle="1">
    <w:name w:val="List Table 3 - Accent 2"/>
    <w:basedOn w:val="70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0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0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0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0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6" w:customStyle="1">
    <w:name w:val="List Table 4"/>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0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4 - Accent 2"/>
    <w:basedOn w:val="70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9" w:customStyle="1">
    <w:name w:val="List Table 4 - Accent 3"/>
    <w:basedOn w:val="70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0" w:customStyle="1">
    <w:name w:val="List Table 4 - Accent 4"/>
    <w:basedOn w:val="70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1" w:customStyle="1">
    <w:name w:val="List Table 4 - Accent 5"/>
    <w:basedOn w:val="70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2" w:customStyle="1">
    <w:name w:val="List Table 4 - Accent 6"/>
    <w:basedOn w:val="70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3" w:customStyle="1">
    <w:name w:val="List Table 5 Dark"/>
    <w:basedOn w:val="7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70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70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70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70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70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70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basedOn w:val="70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702"/>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2" w:customStyle="1">
    <w:name w:val="List Table 6 Colorful - Accent 2"/>
    <w:basedOn w:val="702"/>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3" w:customStyle="1">
    <w:name w:val="List Table 6 Colorful - Accent 3"/>
    <w:basedOn w:val="702"/>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4" w:customStyle="1">
    <w:name w:val="List Table 6 Colorful - Accent 4"/>
    <w:basedOn w:val="702"/>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5" w:customStyle="1">
    <w:name w:val="List Table 6 Colorful - Accent 5"/>
    <w:basedOn w:val="702"/>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6" w:customStyle="1">
    <w:name w:val="List Table 6 Colorful - Accent 6"/>
    <w:basedOn w:val="702"/>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7" w:customStyle="1">
    <w:name w:val="List Table 7 Colorful"/>
    <w:basedOn w:val="70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02"/>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02"/>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02"/>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02"/>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02"/>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02"/>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0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0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6" w:customStyle="1">
    <w:name w:val="Lined - Accent 2"/>
    <w:basedOn w:val="70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7" w:customStyle="1">
    <w:name w:val="Lined - Accent 3"/>
    <w:basedOn w:val="70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8" w:customStyle="1">
    <w:name w:val="Lined - Accent 4"/>
    <w:basedOn w:val="70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9" w:customStyle="1">
    <w:name w:val="Lined - Accent 5"/>
    <w:basedOn w:val="70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0" w:customStyle="1">
    <w:name w:val="Lined - Accent 6"/>
    <w:basedOn w:val="70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1" w:customStyle="1">
    <w:name w:val="Bordered &amp; Lined - Accent"/>
    <w:basedOn w:val="70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0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3" w:customStyle="1">
    <w:name w:val="Bordered &amp; Lined - Accent 2"/>
    <w:basedOn w:val="70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4" w:customStyle="1">
    <w:name w:val="Bordered &amp; Lined - Accent 3"/>
    <w:basedOn w:val="70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5" w:customStyle="1">
    <w:name w:val="Bordered &amp; Lined - Accent 4"/>
    <w:basedOn w:val="70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6" w:customStyle="1">
    <w:name w:val="Bordered &amp; Lined - Accent 5"/>
    <w:basedOn w:val="70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7" w:customStyle="1">
    <w:name w:val="Bordered &amp; Lined - Accent 6"/>
    <w:basedOn w:val="70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8" w:customStyle="1">
    <w:name w:val="Bordered"/>
    <w:basedOn w:val="70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0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0" w:customStyle="1">
    <w:name w:val="Bordered - Accent 2"/>
    <w:basedOn w:val="70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1" w:customStyle="1">
    <w:name w:val="Bordered - Accent 3"/>
    <w:basedOn w:val="70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2" w:customStyle="1">
    <w:name w:val="Bordered - Accent 4"/>
    <w:basedOn w:val="70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3" w:customStyle="1">
    <w:name w:val="Bordered - Accent 5"/>
    <w:basedOn w:val="70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4" w:customStyle="1">
    <w:name w:val="Bordered - Accent 6"/>
    <w:basedOn w:val="70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5" w:customStyle="1">
    <w:name w:val="脚注文本 Char"/>
    <w:link w:val="725"/>
    <w:uiPriority w:val="99"/>
    <w:qFormat/>
    <w:rPr>
      <w:sz w:val="18"/>
    </w:rPr>
  </w:style>
  <w:style w:type="character" w:styleId="906" w:customStyle="1">
    <w:name w:val="尾注文本 Char"/>
    <w:link w:val="717"/>
    <w:uiPriority w:val="99"/>
    <w:qFormat/>
    <w:rPr>
      <w:sz w:val="20"/>
    </w:rPr>
  </w:style>
  <w:style w:type="paragraph" w:styleId="907" w:customStyle="1">
    <w:name w:val="TOC 标题1"/>
    <w:uiPriority w:val="39"/>
    <w:unhideWhenUsed/>
    <w:qFormat/>
    <w:rPr>
      <w:rFonts w:hint="default" w:ascii="Times New Roman" w:hAnsi="Times New Roman" w:eastAsia="宋体" w:cs="Times New Roman"/>
      <w:lang w:val="en-US" w:eastAsia="zh-CN" w:bidi="ar-SA"/>
    </w:rPr>
  </w:style>
  <w:style w:type="paragraph" w:styleId="908" w:customStyle="1">
    <w:name w:val="Comment Text_0"/>
    <w:basedOn w:val="691"/>
    <w:uiPriority w:val="0"/>
    <w:qFormat/>
    <w:pPr>
      <w:jc w:val="left"/>
    </w:pPr>
  </w:style>
  <w:style w:type="paragraph" w:styleId="909" w:customStyle="1">
    <w:name w:val="Comment Subject_0"/>
    <w:basedOn w:val="908"/>
    <w:uiPriority w:val="0"/>
    <w:qFormat/>
    <w:rPr>
      <w:b/>
      <w:bCs/>
    </w:rPr>
  </w:style>
  <w:style w:type="paragraph" w:styleId="910" w:customStyle="1">
    <w:name w:val="Heading 3_0"/>
    <w:basedOn w:val="691"/>
    <w:next w:val="691"/>
    <w:link w:val="931"/>
    <w:uiPriority w:val="0"/>
    <w:unhideWhenUsed/>
    <w:qFormat/>
    <w:pPr>
      <w:keepLines/>
      <w:keepNext/>
      <w:spacing w:before="260" w:after="260" w:line="413" w:lineRule="auto"/>
      <w:outlineLvl w:val="2"/>
    </w:pPr>
    <w:rPr>
      <w:b/>
      <w:sz w:val="32"/>
    </w:rPr>
  </w:style>
  <w:style w:type="paragraph" w:styleId="911" w:customStyle="1">
    <w:name w:val="Comment Text"/>
    <w:basedOn w:val="691"/>
    <w:uiPriority w:val="0"/>
    <w:qFormat/>
    <w:pPr>
      <w:jc w:val="left"/>
    </w:pPr>
  </w:style>
  <w:style w:type="paragraph" w:styleId="912" w:customStyle="1">
    <w:name w:val="Comment Subject"/>
    <w:basedOn w:val="911"/>
    <w:next w:val="732"/>
    <w:uiPriority w:val="0"/>
    <w:qFormat/>
    <w:rPr>
      <w:b/>
      <w:bCs/>
    </w:rPr>
  </w:style>
  <w:style w:type="paragraph" w:styleId="913" w:customStyle="1">
    <w:name w:val="Plain Text1"/>
    <w:basedOn w:val="691"/>
    <w:next w:val="910"/>
    <w:uiPriority w:val="0"/>
    <w:qFormat/>
    <w:pPr>
      <w:ind w:firstLine="3584"/>
      <w:spacing w:line="360" w:lineRule="auto"/>
    </w:pPr>
  </w:style>
  <w:style w:type="paragraph" w:styleId="914" w:customStyle="1">
    <w:name w:val="DAS正文"/>
    <w:basedOn w:val="691"/>
    <w:uiPriority w:val="0"/>
    <w:qFormat/>
    <w:pPr>
      <w:ind w:right="181" w:firstLine="480"/>
      <w:spacing w:line="360" w:lineRule="auto"/>
    </w:pPr>
    <w:rPr>
      <w:rFonts w:ascii="Verdana" w:hAnsi="Verdana"/>
    </w:rPr>
  </w:style>
  <w:style w:type="paragraph" w:styleId="915" w:customStyle="1">
    <w:name w:val="普通正文"/>
    <w:basedOn w:val="691"/>
    <w:uiPriority w:val="0"/>
    <w:qFormat/>
    <w:pPr>
      <w:ind w:firstLine="480"/>
      <w:jc w:val="left"/>
      <w:spacing w:before="120" w:after="120" w:line="360" w:lineRule="auto"/>
    </w:pPr>
    <w:rPr>
      <w:rFonts w:ascii="Arial" w:hAnsi="Arial"/>
      <w:sz w:val="24"/>
    </w:rPr>
  </w:style>
  <w:style w:type="paragraph" w:styleId="916">
    <w:name w:val="List Paragraph"/>
    <w:basedOn w:val="691"/>
    <w:uiPriority w:val="99"/>
    <w:qFormat/>
    <w:pPr>
      <w:ind w:firstLine="420"/>
    </w:pPr>
    <w:rPr>
      <w:rFonts w:ascii="Calibri" w:hAnsi="Calibri"/>
      <w:szCs w:val="22"/>
    </w:rPr>
  </w:style>
  <w:style w:type="paragraph" w:styleId="917" w:customStyle="1">
    <w:name w:val="列出段落1"/>
    <w:basedOn w:val="691"/>
    <w:uiPriority w:val="0"/>
    <w:qFormat/>
    <w:pPr>
      <w:contextualSpacing/>
      <w:ind w:left="720"/>
      <w:jc w:val="left"/>
      <w:widowControl/>
    </w:pPr>
    <w:rPr>
      <w:rFonts w:ascii="Calibri" w:hAnsi="Calibri"/>
      <w:sz w:val="24"/>
      <w:lang w:eastAsia="en-US" w:bidi="en-US"/>
    </w:rPr>
  </w:style>
  <w:style w:type="character" w:styleId="918" w:customStyle="1">
    <w:name w:val="文档结构图 Char"/>
    <w:basedOn w:val="701"/>
    <w:link w:val="706"/>
    <w:uiPriority w:val="0"/>
    <w:qFormat/>
    <w:rPr>
      <w:sz w:val="21"/>
      <w:szCs w:val="24"/>
    </w:rPr>
  </w:style>
  <w:style w:type="paragraph" w:styleId="919" w:customStyle="1">
    <w:name w:val="注释标题11"/>
    <w:basedOn w:val="691"/>
    <w:next w:val="691"/>
    <w:link w:val="930"/>
    <w:uiPriority w:val="99"/>
    <w:unhideWhenUsed/>
    <w:qFormat/>
    <w:pPr>
      <w:jc w:val="center"/>
    </w:pPr>
  </w:style>
  <w:style w:type="paragraph" w:styleId="920"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1" w:customStyle="1">
    <w:name w:val="Blockquote"/>
    <w:basedOn w:val="691"/>
    <w:uiPriority w:val="0"/>
    <w:qFormat/>
    <w:pPr>
      <w:ind w:left="360" w:right="360"/>
      <w:spacing w:before="100" w:after="100"/>
    </w:pPr>
    <w:rPr>
      <w:sz w:val="24"/>
      <w:szCs w:val="20"/>
    </w:rPr>
  </w:style>
  <w:style w:type="paragraph" w:styleId="92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3"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4" w:customStyle="1">
    <w:name w:val="__正文"/>
    <w:basedOn w:val="762"/>
    <w:next w:val="919"/>
    <w:uiPriority w:val="0"/>
    <w:qFormat/>
    <w:rPr>
      <w:sz w:val="21"/>
    </w:rPr>
  </w:style>
  <w:style w:type="paragraph" w:styleId="925" w:customStyle="1">
    <w:name w:val="WPSOffice手动目录 1"/>
    <w:uiPriority w:val="0"/>
    <w:qFormat/>
    <w:rPr>
      <w:rFonts w:hint="default" w:ascii="Times New Roman" w:hAnsi="Times New Roman" w:eastAsia="宋体" w:cs="Times New Roman"/>
      <w:lang w:val="en-US" w:eastAsia="zh-CN" w:bidi="ar-SA"/>
    </w:rPr>
  </w:style>
  <w:style w:type="paragraph" w:styleId="926" w:customStyle="1">
    <w:name w:val="WPSOffice手动目录 2"/>
    <w:uiPriority w:val="0"/>
    <w:qFormat/>
    <w:rPr>
      <w:rFonts w:hint="default" w:ascii="Times New Roman" w:hAnsi="Times New Roman" w:eastAsia="宋体" w:cs="Times New Roman"/>
      <w:lang w:val="en-US" w:eastAsia="zh-CN" w:bidi="ar-SA"/>
    </w:rPr>
  </w:style>
  <w:style w:type="paragraph" w:styleId="927" w:customStyle="1">
    <w:name w:val="WPSOffice手动目录 3"/>
    <w:uiPriority w:val="0"/>
    <w:qFormat/>
    <w:rPr>
      <w:rFonts w:hint="default" w:ascii="Times New Roman" w:hAnsi="Times New Roman" w:eastAsia="宋体" w:cs="Times New Roman"/>
      <w:lang w:val="en-US" w:eastAsia="zh-CN" w:bidi="ar-SA"/>
    </w:rPr>
  </w:style>
  <w:style w:type="character" w:styleId="928" w:customStyle="1">
    <w:name w:val="标题 1 Char"/>
    <w:link w:val="692"/>
    <w:uiPriority w:val="0"/>
    <w:qFormat/>
    <w:rPr>
      <w:rFonts w:ascii="楷体_GB2312" w:eastAsia="楷体_GB2312"/>
      <w:sz w:val="28"/>
      <w:szCs w:val="20"/>
    </w:rPr>
  </w:style>
  <w:style w:type="paragraph" w:styleId="929"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930" w:customStyle="1">
    <w:name w:val="_正文 Char"/>
    <w:link w:val="919"/>
    <w:uiPriority w:val="0"/>
    <w:qFormat/>
    <w:rPr>
      <w:sz w:val="24"/>
    </w:rPr>
  </w:style>
  <w:style w:type="character" w:styleId="931" w:customStyle="1">
    <w:name w:val="目录 7 Char"/>
    <w:link w:val="910"/>
    <w:uiPriority w:val="0"/>
    <w:qFormat/>
  </w:style>
  <w:style w:type="character" w:styleId="932" w:customStyle="1">
    <w:name w:val="正文缩进 Char"/>
    <w:link w:val="708"/>
    <w:uiPriority w:val="0"/>
    <w:qFormat/>
    <w:rPr>
      <w:rFonts w:ascii="宋体"/>
      <w:sz w:val="24"/>
      <w:szCs w:val="20"/>
      <w:lang w:val="zh-CN"/>
    </w:rPr>
  </w:style>
  <w:style w:type="paragraph" w:styleId="933" w:customStyle="1">
    <w:name w:val="*正文"/>
    <w:basedOn w:val="691"/>
    <w:uiPriority w:val="0"/>
    <w:qFormat/>
    <w:pPr>
      <w:ind w:firstLine="200"/>
    </w:pPr>
    <w:rPr>
      <w:rFonts w:ascii="宋体" w:hAnsi="宋体" w:cs="仿宋_GB2312"/>
      <w:sz w:val="22"/>
    </w:rPr>
  </w:style>
  <w:style w:type="paragraph" w:styleId="934" w:customStyle="1">
    <w:name w:val="Plain Text2"/>
    <w:basedOn w:val="691"/>
    <w:uiPriority w:val="0"/>
    <w:qFormat/>
    <w:rPr>
      <w:rFonts w:ascii="宋体" w:hAnsi="Courier New" w:eastAsia="楷体_GB2312"/>
      <w:sz w:val="28"/>
    </w:rPr>
  </w:style>
  <w:style w:type="paragraph" w:styleId="935" w:customStyle="1">
    <w:name w:val="首行缩进"/>
    <w:basedOn w:val="691"/>
    <w:next w:val="691"/>
    <w:uiPriority w:val="0"/>
    <w:qFormat/>
    <w:pPr>
      <w:ind w:firstLine="480"/>
    </w:pPr>
    <w:rPr>
      <w:lang w:val="zh-CN"/>
    </w:rPr>
  </w:style>
  <w:style w:type="paragraph" w:styleId="936" w:customStyle="1">
    <w:name w:val="paragraph"/>
    <w:basedOn w:val="691"/>
    <w:uiPriority w:val="0"/>
    <w:qFormat/>
    <w:pPr>
      <w:jc w:val="left"/>
      <w:spacing w:before="100" w:beforeAutospacing="1" w:after="100" w:afterAutospacing="1"/>
      <w:widowControl/>
    </w:pPr>
    <w:rPr>
      <w:rFonts w:ascii="宋体" w:hAnsi="宋体" w:cs="宋体"/>
    </w:rPr>
  </w:style>
  <w:style w:type="character" w:styleId="937" w:customStyle="1">
    <w:name w:val="font31"/>
    <w:basedOn w:val="701"/>
    <w:uiPriority w:val="0"/>
    <w:qFormat/>
    <w:rPr>
      <w:rFonts w:hint="eastAsia" w:ascii="仿宋" w:hAnsi="仿宋" w:eastAsia="仿宋" w:cs="仿宋"/>
      <w:b/>
      <w:bCs/>
      <w:color w:val="ff0000"/>
      <w:sz w:val="24"/>
      <w:szCs w:val="24"/>
      <w:u w:val="none"/>
    </w:rPr>
  </w:style>
  <w:style w:type="paragraph" w:styleId="938" w:customStyle="1">
    <w:name w:val="Default"/>
    <w:uiPriority w:val="0"/>
    <w:qFormat/>
    <w:pPr>
      <w:widowControl w:val="off"/>
    </w:pPr>
    <w:rPr>
      <w:rFonts w:hint="default" w:ascii="微软雅黑吀" w:hAnsi="Times New Roman" w:eastAsia="微软雅黑吀" w:cs="微软雅黑吀"/>
      <w:color w:val="000000"/>
      <w:sz w:val="24"/>
      <w:szCs w:val="24"/>
      <w:lang w:val="en-US" w:eastAsia="zh-CN" w:bidi="ar-SA"/>
    </w:rPr>
  </w:style>
  <w:style w:type="paragraph" w:styleId="939" w:customStyle="1">
    <w:name w:val="正文文本1"/>
    <w:basedOn w:val="691"/>
    <w:uiPriority w:val="0"/>
    <w:qFormat/>
    <w:pPr>
      <w:ind w:firstLine="420"/>
      <w:jc w:val="left"/>
    </w:pPr>
    <w:rPr>
      <w:rFonts w:eastAsia="楷体_GB2312"/>
      <w:sz w:val="24"/>
      <w:szCs w:val="20"/>
    </w:rPr>
  </w:style>
  <w:style w:type="character" w:styleId="940" w:customStyle="1">
    <w:name w:val="批注框文本 Char"/>
    <w:basedOn w:val="701"/>
    <w:link w:val="718"/>
    <w:uiPriority w:val="99"/>
    <w:semiHidden/>
    <w:qFormat/>
    <w:rPr>
      <w:rFonts w:asciiTheme="minorHAnsi" w:hAnsiTheme="minorHAnsi" w:eastAsiaTheme="minorEastAsia" w:cstheme="minorBidi"/>
      <w:sz w:val="18"/>
      <w:szCs w:val="18"/>
    </w:rPr>
  </w:style>
  <w:style w:type="numbering" w:styleId="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Office">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Office">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土豆</dc:creator>
  <cp:lastModifiedBy>夏清</cp:lastModifiedBy>
  <cp:revision>25</cp:revision>
  <dcterms:created xsi:type="dcterms:W3CDTF">2023-09-09T13:41:00Z</dcterms:created>
  <dcterms:modified xsi:type="dcterms:W3CDTF">2025-12-10T06:43:01Z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F09632822C404D559786B7AFBB515643_13</vt:lpwstr>
  </property>
  <property fmtid="{D5CDD505-2E9C-101B-9397-08002B2CF9AE}" pid="4" name="KSOTemplateDocerSaveRecord">
    <vt:lpwstr>eyJoZGlkIjoiY2I1ZWQyMDIzMmI2OGYyYzI2YTM3OTg4YjAxOTQ1MWIiLCJ1c2VySWQiOiIzMTU1ODEyOTcifQ==</vt:lpwstr>
  </property>
</Properties>
</file>